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BA6" w:rsidRPr="00CC7F89" w:rsidRDefault="00793BA6" w:rsidP="00793BA6">
      <w:pPr>
        <w:pStyle w:val="NormalWeb"/>
        <w:shd w:val="clear" w:color="auto" w:fill="FFFFFF"/>
        <w:spacing w:before="280" w:beforeAutospacing="0" w:after="280" w:afterAutospacing="0"/>
        <w:jc w:val="both"/>
        <w:rPr>
          <w:rFonts w:ascii="Poppins" w:hAnsi="Poppins"/>
          <w:color w:val="000000"/>
        </w:rPr>
      </w:pPr>
    </w:p>
    <w:p w:rsidR="00793BA6" w:rsidRPr="00CC7F89" w:rsidRDefault="00793BA6" w:rsidP="00793BA6">
      <w:pPr>
        <w:pStyle w:val="NormalWeb"/>
        <w:shd w:val="clear" w:color="auto" w:fill="FFFFFF"/>
        <w:spacing w:before="280" w:beforeAutospacing="0" w:after="280" w:afterAutospacing="0"/>
        <w:jc w:val="center"/>
        <w:rPr>
          <w:rFonts w:ascii="Poppins" w:hAnsi="Poppins"/>
          <w:color w:val="000000"/>
        </w:rPr>
      </w:pPr>
      <w:r w:rsidRPr="00CC7F89">
        <w:rPr>
          <w:rFonts w:ascii="Poppins" w:hAnsi="Poppins"/>
          <w:color w:val="000000"/>
        </w:rPr>
        <w:t>Tabla</w:t>
      </w:r>
      <w:r>
        <w:rPr>
          <w:rFonts w:ascii="Poppins" w:hAnsi="Poppins"/>
          <w:color w:val="000000"/>
        </w:rPr>
        <w:t xml:space="preserve"> </w:t>
      </w:r>
      <w:r w:rsidRPr="00CC7F89">
        <w:rPr>
          <w:rFonts w:ascii="Poppins" w:hAnsi="Poppins"/>
          <w:color w:val="000000"/>
        </w:rPr>
        <w:t>14.</w:t>
      </w:r>
      <w:r>
        <w:rPr>
          <w:rFonts w:ascii="Poppins" w:hAnsi="Poppins"/>
          <w:color w:val="000000"/>
        </w:rPr>
        <w:t xml:space="preserve"> </w:t>
      </w:r>
      <w:r w:rsidRPr="00CC7F89">
        <w:rPr>
          <w:rFonts w:ascii="Poppins" w:hAnsi="Poppins"/>
          <w:color w:val="000000"/>
        </w:rPr>
        <w:t>Matriz</w:t>
      </w:r>
      <w:r>
        <w:rPr>
          <w:rFonts w:ascii="Poppins" w:hAnsi="Poppins"/>
          <w:color w:val="000000"/>
        </w:rPr>
        <w:t xml:space="preserve"> </w:t>
      </w:r>
      <w:r w:rsidRPr="00CC7F89">
        <w:rPr>
          <w:rFonts w:ascii="Poppins" w:hAnsi="Poppins"/>
          <w:color w:val="000000"/>
        </w:rPr>
        <w:t>de</w:t>
      </w:r>
      <w:r>
        <w:rPr>
          <w:rFonts w:ascii="Poppins" w:hAnsi="Poppins"/>
          <w:color w:val="000000"/>
        </w:rPr>
        <w:t xml:space="preserve"> </w:t>
      </w:r>
      <w:r w:rsidRPr="00CC7F89">
        <w:rPr>
          <w:rFonts w:ascii="Poppins" w:hAnsi="Poppins"/>
          <w:color w:val="000000"/>
        </w:rPr>
        <w:t>indicadores</w:t>
      </w:r>
      <w:r>
        <w:rPr>
          <w:rFonts w:ascii="Poppins" w:hAnsi="Poppins"/>
          <w:color w:val="000000"/>
        </w:rPr>
        <w:t xml:space="preserve"> </w:t>
      </w:r>
      <w:r w:rsidRPr="00CC7F89">
        <w:rPr>
          <w:rFonts w:ascii="Poppins" w:hAnsi="Poppins"/>
          <w:color w:val="000000"/>
        </w:rPr>
        <w:t>para</w:t>
      </w:r>
      <w:r>
        <w:rPr>
          <w:rFonts w:ascii="Poppins" w:hAnsi="Poppins"/>
          <w:color w:val="000000"/>
        </w:rPr>
        <w:t xml:space="preserve"> </w:t>
      </w:r>
      <w:r w:rsidRPr="00CC7F89">
        <w:rPr>
          <w:rFonts w:ascii="Poppins" w:hAnsi="Poppins"/>
          <w:color w:val="000000"/>
        </w:rPr>
        <w:t>resultados</w:t>
      </w:r>
    </w:p>
    <w:tbl>
      <w:tblPr>
        <w:tblW w:w="14025" w:type="dxa"/>
        <w:tblCellSpacing w:w="0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6"/>
        <w:gridCol w:w="2074"/>
        <w:gridCol w:w="1826"/>
        <w:gridCol w:w="1738"/>
        <w:gridCol w:w="726"/>
        <w:gridCol w:w="825"/>
        <w:gridCol w:w="971"/>
        <w:gridCol w:w="2471"/>
        <w:gridCol w:w="2268"/>
      </w:tblGrid>
      <w:tr w:rsidR="00793BA6" w:rsidRPr="00957009" w:rsidTr="00601336">
        <w:trPr>
          <w:trHeight w:val="289"/>
          <w:tblHeader/>
          <w:tblCellSpacing w:w="0" w:type="dxa"/>
        </w:trPr>
        <w:tc>
          <w:tcPr>
            <w:tcW w:w="1126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b/>
                <w:sz w:val="16"/>
                <w:szCs w:val="16"/>
              </w:rPr>
            </w:pPr>
            <w:r w:rsidRPr="00957009">
              <w:rPr>
                <w:rFonts w:ascii="Poppins" w:hAnsi="Poppins"/>
                <w:b/>
                <w:sz w:val="16"/>
                <w:szCs w:val="16"/>
              </w:rPr>
              <w:t>Nivel</w:t>
            </w:r>
          </w:p>
        </w:tc>
        <w:tc>
          <w:tcPr>
            <w:tcW w:w="2074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b/>
                <w:sz w:val="16"/>
                <w:szCs w:val="16"/>
              </w:rPr>
            </w:pPr>
            <w:r w:rsidRPr="00957009">
              <w:rPr>
                <w:rFonts w:ascii="Poppins" w:hAnsi="Poppins"/>
                <w:b/>
                <w:sz w:val="16"/>
                <w:szCs w:val="16"/>
              </w:rPr>
              <w:t>Resumen Narrativo</w:t>
            </w:r>
          </w:p>
        </w:tc>
        <w:tc>
          <w:tcPr>
            <w:tcW w:w="6086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b/>
                <w:sz w:val="16"/>
                <w:szCs w:val="16"/>
              </w:rPr>
            </w:pPr>
            <w:r w:rsidRPr="00957009">
              <w:rPr>
                <w:rFonts w:ascii="Poppins" w:hAnsi="Poppins"/>
                <w:b/>
                <w:sz w:val="16"/>
                <w:szCs w:val="16"/>
              </w:rPr>
              <w:t>Indicador</w:t>
            </w:r>
          </w:p>
        </w:tc>
        <w:tc>
          <w:tcPr>
            <w:tcW w:w="2471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b/>
                <w:sz w:val="16"/>
                <w:szCs w:val="16"/>
              </w:rPr>
            </w:pPr>
            <w:r w:rsidRPr="00957009">
              <w:rPr>
                <w:rFonts w:ascii="Poppins" w:hAnsi="Poppins"/>
                <w:b/>
                <w:sz w:val="16"/>
                <w:szCs w:val="16"/>
              </w:rPr>
              <w:t>Medios de verificación</w:t>
            </w:r>
          </w:p>
        </w:tc>
        <w:tc>
          <w:tcPr>
            <w:tcW w:w="2268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b/>
                <w:sz w:val="16"/>
                <w:szCs w:val="16"/>
              </w:rPr>
            </w:pPr>
            <w:r w:rsidRPr="00957009">
              <w:rPr>
                <w:rFonts w:ascii="Poppins" w:hAnsi="Poppins"/>
                <w:b/>
                <w:sz w:val="16"/>
                <w:szCs w:val="16"/>
              </w:rPr>
              <w:t>Supuestos</w:t>
            </w:r>
          </w:p>
        </w:tc>
      </w:tr>
      <w:tr w:rsidR="00793BA6" w:rsidRPr="00957009" w:rsidTr="00601336">
        <w:trPr>
          <w:trHeight w:val="282"/>
          <w:tblHeader/>
          <w:tblCellSpacing w:w="0" w:type="dxa"/>
        </w:trPr>
        <w:tc>
          <w:tcPr>
            <w:tcW w:w="1126" w:type="dxa"/>
            <w:vMerge/>
            <w:shd w:val="clear" w:color="auto" w:fill="FFFFFF"/>
            <w:vAlign w:val="center"/>
            <w:hideMark/>
          </w:tcPr>
          <w:p w:rsidR="00793BA6" w:rsidRPr="00957009" w:rsidRDefault="00793BA6" w:rsidP="00601336">
            <w:pPr>
              <w:spacing w:after="0"/>
              <w:rPr>
                <w:rFonts w:ascii="Poppins" w:hAnsi="Poppins"/>
                <w:sz w:val="16"/>
                <w:szCs w:val="16"/>
              </w:rPr>
            </w:pPr>
          </w:p>
        </w:tc>
        <w:tc>
          <w:tcPr>
            <w:tcW w:w="2074" w:type="dxa"/>
            <w:vMerge/>
            <w:shd w:val="clear" w:color="auto" w:fill="FFFFFF"/>
            <w:vAlign w:val="center"/>
            <w:hideMark/>
          </w:tcPr>
          <w:p w:rsidR="00793BA6" w:rsidRPr="00957009" w:rsidRDefault="00793BA6" w:rsidP="00601336">
            <w:pPr>
              <w:spacing w:after="0"/>
              <w:rPr>
                <w:rFonts w:ascii="Poppins" w:hAnsi="Poppins"/>
                <w:sz w:val="16"/>
                <w:szCs w:val="16"/>
              </w:rPr>
            </w:pPr>
          </w:p>
        </w:tc>
        <w:tc>
          <w:tcPr>
            <w:tcW w:w="18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b/>
                <w:sz w:val="16"/>
                <w:szCs w:val="16"/>
              </w:rPr>
            </w:pPr>
            <w:r w:rsidRPr="00957009">
              <w:rPr>
                <w:rFonts w:ascii="Poppins" w:hAnsi="Poppins"/>
                <w:b/>
                <w:sz w:val="16"/>
                <w:szCs w:val="16"/>
              </w:rPr>
              <w:t>Nombre del Indicador</w:t>
            </w:r>
          </w:p>
        </w:tc>
        <w:tc>
          <w:tcPr>
            <w:tcW w:w="1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b/>
                <w:sz w:val="16"/>
                <w:szCs w:val="16"/>
              </w:rPr>
            </w:pPr>
            <w:r w:rsidRPr="00957009">
              <w:rPr>
                <w:rFonts w:ascii="Poppins" w:hAnsi="Poppins"/>
                <w:b/>
                <w:sz w:val="16"/>
                <w:szCs w:val="16"/>
              </w:rPr>
              <w:t>Fórmula</w:t>
            </w:r>
          </w:p>
        </w:tc>
        <w:tc>
          <w:tcPr>
            <w:tcW w:w="7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b/>
                <w:sz w:val="16"/>
                <w:szCs w:val="16"/>
              </w:rPr>
            </w:pPr>
            <w:r w:rsidRPr="00957009">
              <w:rPr>
                <w:rFonts w:ascii="Poppins" w:hAnsi="Poppins"/>
                <w:b/>
                <w:sz w:val="16"/>
                <w:szCs w:val="16"/>
              </w:rPr>
              <w:t>Meta Anual</w:t>
            </w:r>
          </w:p>
        </w:tc>
        <w:tc>
          <w:tcPr>
            <w:tcW w:w="8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b/>
                <w:sz w:val="16"/>
                <w:szCs w:val="16"/>
              </w:rPr>
            </w:pPr>
            <w:r w:rsidRPr="00957009">
              <w:rPr>
                <w:rFonts w:ascii="Poppins" w:hAnsi="Poppins"/>
                <w:b/>
                <w:sz w:val="16"/>
                <w:szCs w:val="16"/>
              </w:rPr>
              <w:t xml:space="preserve">Valor </w:t>
            </w:r>
            <w:proofErr w:type="spellStart"/>
            <w:r w:rsidRPr="00957009">
              <w:rPr>
                <w:rFonts w:ascii="Poppins" w:hAnsi="Poppins"/>
                <w:b/>
                <w:sz w:val="16"/>
                <w:szCs w:val="16"/>
              </w:rPr>
              <w:t>Nume-rador</w:t>
            </w:r>
            <w:proofErr w:type="spellEnd"/>
          </w:p>
        </w:tc>
        <w:tc>
          <w:tcPr>
            <w:tcW w:w="9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b/>
                <w:sz w:val="16"/>
                <w:szCs w:val="16"/>
              </w:rPr>
            </w:pPr>
            <w:r w:rsidRPr="00957009">
              <w:rPr>
                <w:rFonts w:ascii="Poppins" w:hAnsi="Poppins"/>
                <w:b/>
                <w:sz w:val="16"/>
                <w:szCs w:val="16"/>
              </w:rPr>
              <w:t xml:space="preserve">Valor </w:t>
            </w:r>
            <w:proofErr w:type="spellStart"/>
            <w:r w:rsidRPr="00957009">
              <w:rPr>
                <w:rFonts w:ascii="Poppins" w:hAnsi="Poppins"/>
                <w:b/>
                <w:sz w:val="16"/>
                <w:szCs w:val="16"/>
              </w:rPr>
              <w:t>Denomi-nador</w:t>
            </w:r>
            <w:proofErr w:type="spellEnd"/>
          </w:p>
        </w:tc>
        <w:tc>
          <w:tcPr>
            <w:tcW w:w="2471" w:type="dxa"/>
            <w:vMerge/>
            <w:shd w:val="clear" w:color="auto" w:fill="FFFFFF"/>
            <w:vAlign w:val="center"/>
            <w:hideMark/>
          </w:tcPr>
          <w:p w:rsidR="00793BA6" w:rsidRPr="00957009" w:rsidRDefault="00793BA6" w:rsidP="00601336">
            <w:pPr>
              <w:spacing w:after="0"/>
              <w:rPr>
                <w:rFonts w:ascii="Poppins" w:hAnsi="Poppins"/>
                <w:sz w:val="16"/>
                <w:szCs w:val="16"/>
              </w:rPr>
            </w:pPr>
          </w:p>
        </w:tc>
        <w:tc>
          <w:tcPr>
            <w:tcW w:w="2268" w:type="dxa"/>
            <w:vMerge/>
            <w:shd w:val="clear" w:color="auto" w:fill="FFFFFF"/>
            <w:vAlign w:val="center"/>
            <w:hideMark/>
          </w:tcPr>
          <w:p w:rsidR="00793BA6" w:rsidRPr="00957009" w:rsidRDefault="00793BA6" w:rsidP="00601336">
            <w:pPr>
              <w:spacing w:after="0"/>
              <w:rPr>
                <w:rFonts w:ascii="Poppins" w:hAnsi="Poppins"/>
                <w:sz w:val="16"/>
                <w:szCs w:val="16"/>
              </w:rPr>
            </w:pPr>
          </w:p>
        </w:tc>
      </w:tr>
      <w:tr w:rsidR="00793BA6" w:rsidRPr="00957009" w:rsidTr="00601336">
        <w:trPr>
          <w:trHeight w:val="2746"/>
          <w:tblCellSpacing w:w="0" w:type="dxa"/>
        </w:trPr>
        <w:tc>
          <w:tcPr>
            <w:tcW w:w="11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Fin</w:t>
            </w:r>
          </w:p>
        </w:tc>
        <w:tc>
          <w:tcPr>
            <w:tcW w:w="20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Contribuir a la conservación de la biodiversidad y los servicios ecosistémicos en el Área de Protección de Flora y Fauna La Primavera para el bienestar ambiental, social y económico de la región.</w:t>
            </w:r>
          </w:p>
        </w:tc>
        <w:tc>
          <w:tcPr>
            <w:tcW w:w="18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Índice de conservación de biodiversidad y servicios ecosistémicos en el Área de Protección de Flora y Fauna La Primavera</w:t>
            </w:r>
          </w:p>
        </w:tc>
        <w:tc>
          <w:tcPr>
            <w:tcW w:w="1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(Superficie con vegetación nativa conservada/Superficie total del área protegida)*100</w:t>
            </w:r>
          </w:p>
        </w:tc>
        <w:tc>
          <w:tcPr>
            <w:tcW w:w="7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13.3</w:t>
            </w:r>
          </w:p>
        </w:tc>
        <w:tc>
          <w:tcPr>
            <w:tcW w:w="8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4,055</w:t>
            </w:r>
          </w:p>
        </w:tc>
        <w:tc>
          <w:tcPr>
            <w:tcW w:w="9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30,500</w:t>
            </w:r>
          </w:p>
        </w:tc>
        <w:tc>
          <w:tcPr>
            <w:tcW w:w="24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"Informes de monitoreo ecológico</w:t>
            </w:r>
          </w:p>
          <w:p w:rsidR="00793BA6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Imágenes satelitales</w:t>
            </w:r>
          </w:p>
          <w:p w:rsidR="00793BA6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Estudios de biodiversidad y servicios sistémicos</w:t>
            </w:r>
          </w:p>
          <w:p w:rsidR="00793BA6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Encuestas comunitarias</w:t>
            </w:r>
          </w:p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Informes técnicos del área protegida"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No ocurren eventos extraordinarios (como incendios forestales de gran magnitud, cambio de uso de suelo o expansión urbana ilegal) que afecten significativamente la superficie de vegetación nativa.</w:t>
            </w:r>
          </w:p>
        </w:tc>
      </w:tr>
      <w:tr w:rsidR="00793BA6" w:rsidRPr="00957009" w:rsidTr="00601336">
        <w:trPr>
          <w:trHeight w:val="2402"/>
          <w:tblCellSpacing w:w="0" w:type="dxa"/>
        </w:trPr>
        <w:tc>
          <w:tcPr>
            <w:tcW w:w="11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Propósito</w:t>
            </w:r>
          </w:p>
        </w:tc>
        <w:tc>
          <w:tcPr>
            <w:tcW w:w="20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Disminución de la pérdida de biodiversidad y de la degradación de servicios ecosistémicos en el Área de Protección de Flora y Fauna La Primavera.</w:t>
            </w:r>
          </w:p>
        </w:tc>
        <w:tc>
          <w:tcPr>
            <w:tcW w:w="18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Disminución de la pérdida de biodiversidad y de la degradación de servicios ecosistémicos en el Área de Protección de Flora y Fauna La Primavera.</w:t>
            </w:r>
          </w:p>
        </w:tc>
        <w:tc>
          <w:tcPr>
            <w:tcW w:w="1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(tasa de pérdida en el periodo actual-Tasa de pérdida de cobertura vegetal en el periodo anterior/Tasa de pérdida en el periodo anterior)*100</w:t>
            </w:r>
          </w:p>
        </w:tc>
        <w:tc>
          <w:tcPr>
            <w:tcW w:w="7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30</w:t>
            </w:r>
          </w:p>
        </w:tc>
        <w:tc>
          <w:tcPr>
            <w:tcW w:w="8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18</w:t>
            </w:r>
          </w:p>
        </w:tc>
        <w:tc>
          <w:tcPr>
            <w:tcW w:w="9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60</w:t>
            </w:r>
          </w:p>
        </w:tc>
        <w:tc>
          <w:tcPr>
            <w:tcW w:w="24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Análisis SIG y monitoreo satelital Informes de avance técnico y de manejo Registros de restauración y conservación</w:t>
            </w:r>
          </w:p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Actas de participación ciudadana o comunitaria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Se mantienen las condiciones climáticas estables y no se presentan eventos extremos (como incendios forestales severos o sequías prolongadas) que aceleren la pérdida de cobertura vegetal.</w:t>
            </w:r>
          </w:p>
        </w:tc>
      </w:tr>
      <w:tr w:rsidR="00793BA6" w:rsidRPr="00957009" w:rsidTr="00601336">
        <w:trPr>
          <w:trHeight w:val="855"/>
          <w:tblCellSpacing w:w="0" w:type="dxa"/>
        </w:trPr>
        <w:tc>
          <w:tcPr>
            <w:tcW w:w="11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Componente</w:t>
            </w:r>
          </w:p>
        </w:tc>
        <w:tc>
          <w:tcPr>
            <w:tcW w:w="20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D-D1 Mecanismos de coordinación interinstitucional implementados para fortalecer la gobernanza ambiental.</w:t>
            </w:r>
          </w:p>
        </w:tc>
        <w:tc>
          <w:tcPr>
            <w:tcW w:w="18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Mecanismos de coordinación interinstitucional implementados para fortalecer la gobernanza ambiental.</w:t>
            </w:r>
          </w:p>
        </w:tc>
        <w:tc>
          <w:tcPr>
            <w:tcW w:w="1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(Número total de acuerdos firmados y operando/Número total de acuerdos firmados)x100</w:t>
            </w:r>
          </w:p>
        </w:tc>
        <w:tc>
          <w:tcPr>
            <w:tcW w:w="7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16.67</w:t>
            </w:r>
          </w:p>
        </w:tc>
        <w:tc>
          <w:tcPr>
            <w:tcW w:w="8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1</w:t>
            </w:r>
          </w:p>
        </w:tc>
        <w:tc>
          <w:tcPr>
            <w:tcW w:w="9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6</w:t>
            </w:r>
          </w:p>
        </w:tc>
        <w:tc>
          <w:tcPr>
            <w:tcW w:w="24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Actas de reuniones de seguimiento y/o comités interinstitucionales</w:t>
            </w:r>
          </w:p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Informes de implementación operativa de los acuerdos (con evidencias de actividades conjuntas o resultados).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Las instituciones mantienen voluntad política y capacidad operativa.</w:t>
            </w:r>
          </w:p>
        </w:tc>
      </w:tr>
      <w:tr w:rsidR="00793BA6" w:rsidRPr="00957009" w:rsidTr="00601336">
        <w:trPr>
          <w:trHeight w:val="780"/>
          <w:tblCellSpacing w:w="0" w:type="dxa"/>
        </w:trPr>
        <w:tc>
          <w:tcPr>
            <w:tcW w:w="11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lastRenderedPageBreak/>
              <w:t>Actividad</w:t>
            </w:r>
          </w:p>
        </w:tc>
        <w:tc>
          <w:tcPr>
            <w:tcW w:w="20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[D1-01] Realizar mesas técnicas interinstitucionales de coordinación.</w:t>
            </w:r>
          </w:p>
        </w:tc>
        <w:tc>
          <w:tcPr>
            <w:tcW w:w="18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Porcentaje de acuerdos generados en mesas técnicas que cuentan con seguimiento o están en proceso de cumplimiento</w:t>
            </w:r>
          </w:p>
        </w:tc>
        <w:tc>
          <w:tcPr>
            <w:tcW w:w="1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(Acuerdos en seguimiento o cumplidos/Total de acuerdos generados) x 100</w:t>
            </w:r>
          </w:p>
        </w:tc>
        <w:tc>
          <w:tcPr>
            <w:tcW w:w="7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15.81</w:t>
            </w:r>
          </w:p>
        </w:tc>
        <w:tc>
          <w:tcPr>
            <w:tcW w:w="8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4.08</w:t>
            </w:r>
          </w:p>
        </w:tc>
        <w:tc>
          <w:tcPr>
            <w:tcW w:w="9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25.8</w:t>
            </w:r>
          </w:p>
        </w:tc>
        <w:tc>
          <w:tcPr>
            <w:tcW w:w="24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Minutas o actas de reunión Listas de asistencia Convocatorias enviadas Reportes técnicos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Disponibilidad y voluntad de las instituciones convocadas para participar activamente en las mesas técnicas</w:t>
            </w:r>
          </w:p>
        </w:tc>
      </w:tr>
      <w:tr w:rsidR="00793BA6" w:rsidRPr="00957009" w:rsidTr="00601336">
        <w:trPr>
          <w:trHeight w:val="949"/>
          <w:tblCellSpacing w:w="0" w:type="dxa"/>
        </w:trPr>
        <w:tc>
          <w:tcPr>
            <w:tcW w:w="11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Componente</w:t>
            </w:r>
          </w:p>
        </w:tc>
        <w:tc>
          <w:tcPr>
            <w:tcW w:w="20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D-D2 Uso de imágenes satelitales disponibles para la revisión de Polígonos con indicios de cambio de uso de suelo que difiere con la condición actual</w:t>
            </w:r>
          </w:p>
        </w:tc>
        <w:tc>
          <w:tcPr>
            <w:tcW w:w="18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Revisión de Polígonos con indicios de cambio de uso de suelo que difiere con la condición actual</w:t>
            </w:r>
          </w:p>
        </w:tc>
        <w:tc>
          <w:tcPr>
            <w:tcW w:w="1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(Revisión de Polígonos con indicios de cambio de uso de suelo /Polígono amparado bajo el decreto de creación de la ANP evaluado)*100</w:t>
            </w:r>
          </w:p>
        </w:tc>
        <w:tc>
          <w:tcPr>
            <w:tcW w:w="7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100</w:t>
            </w:r>
          </w:p>
        </w:tc>
        <w:tc>
          <w:tcPr>
            <w:tcW w:w="8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10</w:t>
            </w:r>
          </w:p>
        </w:tc>
        <w:tc>
          <w:tcPr>
            <w:tcW w:w="9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10</w:t>
            </w:r>
          </w:p>
        </w:tc>
        <w:tc>
          <w:tcPr>
            <w:tcW w:w="24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Resultados técnicos de la revisión supervisada y/o no supervisada de las imágenes de satélite disponibles.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Disponibilidad de imágenes de satélite de acceso libre, con la resolución espacial y temporalidad apta para llevar a cabo las revisiones</w:t>
            </w:r>
          </w:p>
        </w:tc>
      </w:tr>
      <w:tr w:rsidR="00793BA6" w:rsidRPr="00957009" w:rsidTr="00601336">
        <w:trPr>
          <w:trHeight w:val="949"/>
          <w:tblCellSpacing w:w="0" w:type="dxa"/>
        </w:trPr>
        <w:tc>
          <w:tcPr>
            <w:tcW w:w="11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Actividad</w:t>
            </w:r>
          </w:p>
        </w:tc>
        <w:tc>
          <w:tcPr>
            <w:tcW w:w="20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[D2-01] Monitorear el cambio de uso de suelo mediante imágenes satelitales</w:t>
            </w:r>
          </w:p>
        </w:tc>
        <w:tc>
          <w:tcPr>
            <w:tcW w:w="18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Superficie monitoreada mediante imágenes satelitales respecto a la superficie total sujeta a observación con indicios de cambio de uso de suelo</w:t>
            </w:r>
          </w:p>
        </w:tc>
        <w:tc>
          <w:tcPr>
            <w:tcW w:w="1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(Superficie monitoreada mediante imágenes satelitales con indicios de cambio de uso de suelo / Superficie total sujeta a monitoreo )×100</w:t>
            </w:r>
          </w:p>
        </w:tc>
        <w:tc>
          <w:tcPr>
            <w:tcW w:w="7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14.16</w:t>
            </w:r>
          </w:p>
        </w:tc>
        <w:tc>
          <w:tcPr>
            <w:tcW w:w="8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4,318</w:t>
            </w:r>
          </w:p>
        </w:tc>
        <w:tc>
          <w:tcPr>
            <w:tcW w:w="9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30,500</w:t>
            </w:r>
          </w:p>
        </w:tc>
        <w:tc>
          <w:tcPr>
            <w:tcW w:w="24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Informes técnicos de monitoreo satelital</w:t>
            </w:r>
          </w:p>
          <w:p w:rsidR="00793BA6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Mapas y análisis SIG (Sistemas de Información</w:t>
            </w:r>
          </w:p>
          <w:p w:rsidR="00793BA6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Geográfica)</w:t>
            </w:r>
          </w:p>
          <w:p w:rsidR="00793BA6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Registros de cobertura procesada</w:t>
            </w:r>
          </w:p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Reportes de detección de cambios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Disponibilidad de imágenes de satélite de acceso libre, con la resolución espacial y temporalidad apta para llevar a cabo las revisiones</w:t>
            </w:r>
          </w:p>
        </w:tc>
      </w:tr>
      <w:tr w:rsidR="00793BA6" w:rsidRPr="00957009" w:rsidTr="00601336">
        <w:trPr>
          <w:trHeight w:val="1114"/>
          <w:tblCellSpacing w:w="0" w:type="dxa"/>
        </w:trPr>
        <w:tc>
          <w:tcPr>
            <w:tcW w:w="11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Componente</w:t>
            </w:r>
          </w:p>
        </w:tc>
        <w:tc>
          <w:tcPr>
            <w:tcW w:w="20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 xml:space="preserve">D-D4 Acciones de educación ambiental, fomento de </w:t>
            </w:r>
            <w:proofErr w:type="gramStart"/>
            <w:r w:rsidRPr="00957009">
              <w:rPr>
                <w:rFonts w:ascii="Poppins" w:hAnsi="Poppins"/>
                <w:sz w:val="16"/>
                <w:szCs w:val="16"/>
              </w:rPr>
              <w:t>la participación social implementadas</w:t>
            </w:r>
            <w:proofErr w:type="gramEnd"/>
            <w:r w:rsidRPr="00957009">
              <w:rPr>
                <w:rFonts w:ascii="Poppins" w:hAnsi="Poppins"/>
                <w:sz w:val="16"/>
                <w:szCs w:val="16"/>
              </w:rPr>
              <w:t xml:space="preserve"> en las localidades prioritarias.</w:t>
            </w:r>
          </w:p>
        </w:tc>
        <w:tc>
          <w:tcPr>
            <w:tcW w:w="18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Tasa de variación en las acciones de educación ambiental y participación social.</w:t>
            </w:r>
          </w:p>
        </w:tc>
        <w:tc>
          <w:tcPr>
            <w:tcW w:w="1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(Número de acciones en el trimestre t 2026-número de acciones en el trimestre t 2025 /número de acciones en el en el trimestre t 2025 )*100</w:t>
            </w:r>
          </w:p>
        </w:tc>
        <w:tc>
          <w:tcPr>
            <w:tcW w:w="7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47.08</w:t>
            </w:r>
          </w:p>
        </w:tc>
        <w:tc>
          <w:tcPr>
            <w:tcW w:w="8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25</w:t>
            </w:r>
          </w:p>
        </w:tc>
        <w:tc>
          <w:tcPr>
            <w:tcW w:w="9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17</w:t>
            </w:r>
          </w:p>
        </w:tc>
        <w:tc>
          <w:tcPr>
            <w:tcW w:w="24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Registros de actividades (listas de asistencia, agendas, reportes técnicos)</w:t>
            </w:r>
          </w:p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Informes de seguimiento de programas de educación ambiental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Interés ciudadano y recursos para facilitar la participación</w:t>
            </w:r>
          </w:p>
        </w:tc>
      </w:tr>
      <w:tr w:rsidR="00793BA6" w:rsidRPr="00957009" w:rsidTr="00601336">
        <w:trPr>
          <w:trHeight w:val="780"/>
          <w:tblCellSpacing w:w="0" w:type="dxa"/>
        </w:trPr>
        <w:tc>
          <w:tcPr>
            <w:tcW w:w="11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Actividad</w:t>
            </w:r>
          </w:p>
        </w:tc>
        <w:tc>
          <w:tcPr>
            <w:tcW w:w="20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[D4-01] Desarrollar actividades de educación y capacitación ambiental en las localidades prioritarias</w:t>
            </w:r>
          </w:p>
        </w:tc>
        <w:tc>
          <w:tcPr>
            <w:tcW w:w="18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Porcentaje de actividades de educación ambiental y capacitación establecidas con respecto a las previstas</w:t>
            </w:r>
          </w:p>
        </w:tc>
        <w:tc>
          <w:tcPr>
            <w:tcW w:w="17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(Número de redes de vigilancia ciudadana establecidas con capacitación y equipamiento/Número total de redes de vigilancia ciudadana previstas)×100</w:t>
            </w:r>
          </w:p>
        </w:tc>
        <w:tc>
          <w:tcPr>
            <w:tcW w:w="72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147.06</w:t>
            </w:r>
          </w:p>
        </w:tc>
        <w:tc>
          <w:tcPr>
            <w:tcW w:w="8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25</w:t>
            </w:r>
          </w:p>
        </w:tc>
        <w:tc>
          <w:tcPr>
            <w:tcW w:w="9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center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17</w:t>
            </w:r>
          </w:p>
        </w:tc>
        <w:tc>
          <w:tcPr>
            <w:tcW w:w="24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Registros de actividades (listas de asistencia, agendas, reportes técnicos)</w:t>
            </w:r>
          </w:p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Informes de seguimiento de programas de educación ambiental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93BA6" w:rsidRPr="00957009" w:rsidRDefault="00793BA6" w:rsidP="00601336">
            <w:pPr>
              <w:pStyle w:val="NormalWeb"/>
              <w:spacing w:before="0" w:beforeAutospacing="0" w:after="0" w:afterAutospacing="0"/>
              <w:jc w:val="both"/>
              <w:rPr>
                <w:rFonts w:ascii="Poppins" w:hAnsi="Poppins"/>
                <w:sz w:val="16"/>
                <w:szCs w:val="16"/>
              </w:rPr>
            </w:pPr>
            <w:r w:rsidRPr="00957009">
              <w:rPr>
                <w:rFonts w:ascii="Poppins" w:hAnsi="Poppins"/>
                <w:sz w:val="16"/>
                <w:szCs w:val="16"/>
              </w:rPr>
              <w:t>Interés ciudadano y recursos para facilitar la participación</w:t>
            </w:r>
          </w:p>
        </w:tc>
      </w:tr>
    </w:tbl>
    <w:p w:rsidR="00793BA6" w:rsidRPr="00957009" w:rsidRDefault="00793BA6" w:rsidP="00793BA6">
      <w:pPr>
        <w:pStyle w:val="NormalWeb"/>
        <w:shd w:val="clear" w:color="auto" w:fill="FFFFFF"/>
        <w:spacing w:before="280" w:beforeAutospacing="0" w:after="280" w:afterAutospacing="0"/>
        <w:jc w:val="center"/>
        <w:rPr>
          <w:rFonts w:ascii="Poppins" w:hAnsi="Poppins"/>
          <w:color w:val="000000"/>
          <w:sz w:val="20"/>
          <w:szCs w:val="20"/>
        </w:rPr>
      </w:pPr>
      <w:r w:rsidRPr="00957009">
        <w:rPr>
          <w:rFonts w:ascii="Poppins" w:hAnsi="Poppins"/>
          <w:color w:val="000000"/>
          <w:sz w:val="20"/>
          <w:szCs w:val="20"/>
        </w:rPr>
        <w:t>Fuente: Elaboración propia</w:t>
      </w:r>
    </w:p>
    <w:p w:rsidR="0049414A" w:rsidRPr="00793BA6" w:rsidRDefault="00793BA6" w:rsidP="00793BA6">
      <w:pPr>
        <w:pStyle w:val="NormalWeb"/>
        <w:shd w:val="clear" w:color="auto" w:fill="FFFFFF"/>
        <w:spacing w:before="280" w:beforeAutospacing="0" w:after="280" w:afterAutospacing="0"/>
        <w:jc w:val="center"/>
      </w:pPr>
      <w:r w:rsidRPr="00957009">
        <w:rPr>
          <w:rFonts w:ascii="Poppins" w:hAnsi="Poppins"/>
          <w:color w:val="000000"/>
          <w:sz w:val="20"/>
          <w:szCs w:val="20"/>
        </w:rPr>
        <w:t>Nota: Extracto de la MIR correspondiente a la intervención del Programa Presupuestario S1C.</w:t>
      </w:r>
      <w:bookmarkStart w:id="0" w:name="_GoBack"/>
      <w:bookmarkEnd w:id="0"/>
    </w:p>
    <w:sectPr w:rsidR="0049414A" w:rsidRPr="00793BA6" w:rsidSect="00793BA6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oppi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14A"/>
    <w:rsid w:val="0049414A"/>
    <w:rsid w:val="004E54AA"/>
    <w:rsid w:val="0058240F"/>
    <w:rsid w:val="006238B2"/>
    <w:rsid w:val="00757454"/>
    <w:rsid w:val="00793BA6"/>
    <w:rsid w:val="00840EAF"/>
    <w:rsid w:val="00F3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93BA6"/>
    <w:rPr>
      <w:rFonts w:ascii="Calibri" w:eastAsia="Calibri" w:hAnsi="Calibri" w:cs="Calibri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93BA6"/>
    <w:rPr>
      <w:rFonts w:ascii="Calibri" w:eastAsia="Calibri" w:hAnsi="Calibri" w:cs="Calibri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833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JESÚS</dc:creator>
  <cp:lastModifiedBy>JESÚS</cp:lastModifiedBy>
  <cp:revision>1</cp:revision>
  <dcterms:created xsi:type="dcterms:W3CDTF">2026-04-30T15:51:00Z</dcterms:created>
  <dcterms:modified xsi:type="dcterms:W3CDTF">2026-04-30T16:24:00Z</dcterms:modified>
</cp:coreProperties>
</file>