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5E862" w14:textId="1E0F8D1C" w:rsidR="001A41CE" w:rsidRPr="00E936DE" w:rsidRDefault="003C42E8" w:rsidP="00E936DE">
      <w:pPr>
        <w:pBdr>
          <w:top w:val="single" w:sz="4" w:space="1" w:color="D5DCE4" w:themeColor="text2" w:themeTint="33"/>
          <w:left w:val="single" w:sz="4" w:space="0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hd w:val="clear" w:color="auto" w:fill="8296A9"/>
        <w:spacing w:after="0" w:line="360" w:lineRule="auto"/>
        <w:jc w:val="center"/>
        <w:textAlignment w:val="baseline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lang w:eastAsia="es-ES_tradnl"/>
        </w:rPr>
      </w:pPr>
      <w:r w:rsidRPr="00E936DE">
        <w:rPr>
          <w:rFonts w:ascii="Arial" w:eastAsia="Times New Roman" w:hAnsi="Arial" w:cs="Arial"/>
          <w:b/>
          <w:bCs/>
          <w:color w:val="FFFFFF" w:themeColor="background1"/>
          <w:spacing w:val="20"/>
          <w:w w:val="150"/>
          <w:sz w:val="24"/>
          <w:szCs w:val="24"/>
          <w:lang w:eastAsia="es-ES_tradnl"/>
        </w:rPr>
        <w:t>DIAGNÓSTICO</w:t>
      </w:r>
    </w:p>
    <w:p w14:paraId="79B0BD22" w14:textId="0662AB00" w:rsidR="001A41CE" w:rsidRPr="00E936DE" w:rsidRDefault="001A41CE" w:rsidP="00E936D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_tradnl"/>
        </w:rPr>
      </w:pPr>
      <w:r w:rsidRPr="00E936D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Dependencia:</w:t>
      </w:r>
      <w:r w:rsidR="00835BEA" w:rsidRPr="00E936D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835BEA" w:rsidRPr="00E936DE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Secretaría de Cultura</w:t>
      </w:r>
    </w:p>
    <w:p w14:paraId="191432A6" w14:textId="1F988138" w:rsidR="00F24CEF" w:rsidRPr="00E936DE" w:rsidRDefault="001A41CE" w:rsidP="00E936DE">
      <w:pPr>
        <w:pStyle w:val="Encabezado"/>
        <w:pBdr>
          <w:top w:val="single" w:sz="4" w:space="1" w:color="D5DCE4" w:themeColor="text2" w:themeTint="33"/>
          <w:left w:val="single" w:sz="4" w:space="4" w:color="D5DCE4" w:themeColor="text2" w:themeTint="33"/>
          <w:bottom w:val="single" w:sz="4" w:space="1" w:color="D5DCE4" w:themeColor="text2" w:themeTint="33"/>
          <w:right w:val="single" w:sz="4" w:space="4" w:color="D5DCE4" w:themeColor="text2" w:themeTint="33"/>
          <w:between w:val="single" w:sz="4" w:space="1" w:color="D5DCE4" w:themeColor="text2" w:themeTint="33"/>
          <w:bar w:val="single" w:sz="4" w:color="auto"/>
        </w:pBdr>
        <w:spacing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_tradnl"/>
        </w:rPr>
      </w:pPr>
      <w:r w:rsidRPr="00E936D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>Nombre del programa:</w:t>
      </w:r>
      <w:r w:rsidR="00835BEA" w:rsidRPr="00E936DE">
        <w:rPr>
          <w:rFonts w:ascii="Arial" w:eastAsia="Times New Roman" w:hAnsi="Arial" w:cs="Arial"/>
          <w:b/>
          <w:bCs/>
          <w:color w:val="8296A9"/>
          <w:sz w:val="24"/>
          <w:szCs w:val="24"/>
          <w:lang w:eastAsia="es-ES_tradnl"/>
        </w:rPr>
        <w:t xml:space="preserve"> </w:t>
      </w:r>
      <w:r w:rsidR="00E936DE" w:rsidRPr="00E936DE">
        <w:rPr>
          <w:rFonts w:ascii="Arial" w:eastAsia="Times New Roman" w:hAnsi="Arial" w:cs="Arial"/>
          <w:b/>
          <w:bCs/>
          <w:sz w:val="24"/>
          <w:szCs w:val="24"/>
          <w:lang w:eastAsia="es-ES_tradnl"/>
        </w:rPr>
        <w:t>Rutas Creativas y Vías Verdes: Estrategias para el Desarrollo Regional</w:t>
      </w:r>
    </w:p>
    <w:p w14:paraId="1EE3EB97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1. Contexto general</w:t>
      </w:r>
    </w:p>
    <w:p w14:paraId="28D1B9C7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>El programa se enfoca en la recuperación de la antigua infraestructura ferroviaria (rutas y estaciones) como eje estratégico para detonar procesos de desarrollo territorial. A través de su conservación, adecuación y activación cultural, busca transformar estos espacios en nodos de encuentro comunitario, recreación, identidad y dinamización económica.</w:t>
      </w:r>
    </w:p>
    <w:p w14:paraId="10D0CA6F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>Estos corredores ferroviarios representan no solo infraestructura física en desuso, sino también un patrimonio histórico, cultural y simbólico con alto potencial para articular procesos de desarrollo regional sostenible.</w:t>
      </w:r>
    </w:p>
    <w:p w14:paraId="5D1215B2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2. Problema central</w:t>
      </w:r>
    </w:p>
    <w:p w14:paraId="19D743D4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Existe una </w:t>
      </w: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desvinculación entre el crecimiento económico regional y el aprovechamiento del patrimonio cultural, natural e histórico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>, lo que se traduce en:</w:t>
      </w:r>
    </w:p>
    <w:p w14:paraId="7251E0A6" w14:textId="77777777" w:rsidR="00E936DE" w:rsidRPr="00E936DE" w:rsidRDefault="00E936DE" w:rsidP="00E936D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Subutilización de recursos patrimoniales </w:t>
      </w:r>
    </w:p>
    <w:p w14:paraId="4A2428D4" w14:textId="77777777" w:rsidR="00E936DE" w:rsidRPr="00E936DE" w:rsidRDefault="00E936DE" w:rsidP="00E936D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Pérdida de identidad y memoria histórica </w:t>
      </w:r>
    </w:p>
    <w:p w14:paraId="683F35D7" w14:textId="77777777" w:rsidR="00E936DE" w:rsidRPr="00E936DE" w:rsidRDefault="00E936DE" w:rsidP="00E936D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Escasa generación de valor turístico y económico </w:t>
      </w:r>
    </w:p>
    <w:p w14:paraId="5C01575D" w14:textId="77777777" w:rsidR="00E936DE" w:rsidRPr="00E936DE" w:rsidRDefault="00E936DE" w:rsidP="00E936D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Débil apropiación del territorio por parte de la población </w:t>
      </w:r>
    </w:p>
    <w:p w14:paraId="3A8177F5" w14:textId="77777777" w:rsidR="00E936DE" w:rsidRPr="00E936DE" w:rsidRDefault="00E936DE" w:rsidP="00E936D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Limitadas condiciones para la construcción de una cultura de paz </w:t>
      </w:r>
    </w:p>
    <w:p w14:paraId="230D664B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3. Causas estructurales</w:t>
      </w:r>
    </w:p>
    <w:p w14:paraId="541A070A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>El problema identificado se explica por una combinación de factores:</w:t>
      </w:r>
    </w:p>
    <w:p w14:paraId="058CE287" w14:textId="77777777" w:rsidR="00E936DE" w:rsidRPr="00E936DE" w:rsidRDefault="00E936DE" w:rsidP="00E936D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Abandono o deterioro de la infraestructura ferroviaria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, sin estrategias integrales de recuperación </w:t>
      </w:r>
    </w:p>
    <w:p w14:paraId="08DB0AFF" w14:textId="77777777" w:rsidR="00E936DE" w:rsidRPr="00E936DE" w:rsidRDefault="00E936DE" w:rsidP="00E936D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Falta de articulación interinstitucional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 entre cultura, turismo, medio ambiente y desarrollo económico </w:t>
      </w:r>
    </w:p>
    <w:p w14:paraId="564183B8" w14:textId="77777777" w:rsidR="00E936DE" w:rsidRPr="00E936DE" w:rsidRDefault="00E936DE" w:rsidP="00E936D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Escasa difusión del patrimonio científico, arqueológico e histórico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</w:p>
    <w:p w14:paraId="2A6714B1" w14:textId="77777777" w:rsidR="00E936DE" w:rsidRPr="00E936DE" w:rsidRDefault="00E936DE" w:rsidP="00E936D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Débil participación comunitaria en la gestión del territorio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</w:p>
    <w:p w14:paraId="4F91A4E3" w14:textId="77777777" w:rsidR="00E936DE" w:rsidRPr="00E936DE" w:rsidRDefault="00E936DE" w:rsidP="00E936D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Limitada oferta de espacios públicos de calidad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, accesibles y seguros </w:t>
      </w:r>
    </w:p>
    <w:p w14:paraId="216F8975" w14:textId="77777777" w:rsidR="00E936DE" w:rsidRPr="00E936DE" w:rsidRDefault="00E936DE" w:rsidP="00E936D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Desconexión entre identidad local y dinámicas económicas contemporáneas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</w:p>
    <w:p w14:paraId="4EF9240C" w14:textId="77777777" w:rsidR="00E936DE" w:rsidRPr="00E936DE" w:rsidRDefault="00E936DE" w:rsidP="00E936D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Insuficientes acciones orientadas a la cultura de paz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, especialmente en espacios públicos </w:t>
      </w:r>
    </w:p>
    <w:p w14:paraId="680E35C7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4. Efectos del problema</w:t>
      </w:r>
    </w:p>
    <w:p w14:paraId="0431F767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>Las consecuencias de esta desvinculación impactan múltiples dimensiones:</w:t>
      </w:r>
    </w:p>
    <w:p w14:paraId="0BECD14F" w14:textId="77777777" w:rsidR="00E936DE" w:rsidRPr="00E936DE" w:rsidRDefault="00E936DE" w:rsidP="00E936DE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lastRenderedPageBreak/>
        <w:t xml:space="preserve">Pérdida progresiva del patrimonio cultural y natural </w:t>
      </w:r>
    </w:p>
    <w:p w14:paraId="17268198" w14:textId="77777777" w:rsidR="00E936DE" w:rsidRPr="00E936DE" w:rsidRDefault="00E936DE" w:rsidP="00E936DE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Oportunidades desaprovechadas para el turismo sostenible </w:t>
      </w:r>
    </w:p>
    <w:p w14:paraId="3B46590B" w14:textId="77777777" w:rsidR="00E936DE" w:rsidRPr="00E936DE" w:rsidRDefault="00E936DE" w:rsidP="00E936DE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Bajo sentido de pertenencia e identidad territorial </w:t>
      </w:r>
    </w:p>
    <w:p w14:paraId="14D2D703" w14:textId="77777777" w:rsidR="00E936DE" w:rsidRPr="00E936DE" w:rsidRDefault="00E936DE" w:rsidP="00E936DE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Deterioro del tejido social y aumento de dinámicas de conflicto o desinterés comunitario </w:t>
      </w:r>
    </w:p>
    <w:p w14:paraId="778F43A9" w14:textId="77777777" w:rsidR="00E936DE" w:rsidRPr="00E936DE" w:rsidRDefault="00E936DE" w:rsidP="00E936DE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Espacios públicos subutilizados o inseguros </w:t>
      </w:r>
    </w:p>
    <w:p w14:paraId="4E23A5BA" w14:textId="77777777" w:rsidR="00E936DE" w:rsidRPr="00E936DE" w:rsidRDefault="00E936DE" w:rsidP="00E936DE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Limitada diversificación económica en regiones con potencial patrimonial </w:t>
      </w:r>
    </w:p>
    <w:p w14:paraId="4A1450DA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5. Enfoque estratégico del programa</w:t>
      </w:r>
    </w:p>
    <w:p w14:paraId="086E8F32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>El programa plantea una intervención integral basada en:</w:t>
      </w:r>
    </w:p>
    <w:p w14:paraId="14781608" w14:textId="77777777" w:rsidR="00E936DE" w:rsidRPr="00E936DE" w:rsidRDefault="00E936DE" w:rsidP="00E936D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Recuperación del patrimonio ferroviario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 como infraestructura cultural y recreativa </w:t>
      </w:r>
    </w:p>
    <w:p w14:paraId="5DF1F278" w14:textId="77777777" w:rsidR="00E936DE" w:rsidRPr="00E936DE" w:rsidRDefault="00E936DE" w:rsidP="00E936D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Activación de espacios mediante actividades culturales y comunitarias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</w:p>
    <w:p w14:paraId="25EFBCF6" w14:textId="77777777" w:rsidR="00E936DE" w:rsidRPr="00E936DE" w:rsidRDefault="00E936DE" w:rsidP="00E936D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Impulso a la educación ambiental (reforestación, preservación de flora)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</w:p>
    <w:p w14:paraId="7930FB43" w14:textId="77777777" w:rsidR="00E936DE" w:rsidRPr="00E936DE" w:rsidRDefault="00E936DE" w:rsidP="00E936D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Difusión del conocimiento científico y arqueológico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</w:p>
    <w:p w14:paraId="672427A2" w14:textId="77777777" w:rsidR="00E936DE" w:rsidRPr="00E936DE" w:rsidRDefault="00E936DE" w:rsidP="00E936DE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Fortalecimiento del espacio público como lugar de encuentro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 </w:t>
      </w:r>
    </w:p>
    <w:p w14:paraId="71115A13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Este enfoque busca no solo conservar, sino </w:t>
      </w: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resignificar el territorio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 como un espacio vivo, productivo y socialmente apropiado.</w:t>
      </w:r>
    </w:p>
    <w:p w14:paraId="04291302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6. Relación con la apropiación del territorio y cultura de paz</w:t>
      </w:r>
    </w:p>
    <w:p w14:paraId="36CAE4BB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Apropiación del territorio: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br/>
        <w:t>El programa contribuye a que la población:</w:t>
      </w:r>
    </w:p>
    <w:p w14:paraId="20B5ABD5" w14:textId="77777777" w:rsidR="00E936DE" w:rsidRPr="00E936DE" w:rsidRDefault="00E936DE" w:rsidP="00E936DE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Reconozca el valor histórico, cultural y natural de su entorno </w:t>
      </w:r>
    </w:p>
    <w:p w14:paraId="748DD24F" w14:textId="77777777" w:rsidR="00E936DE" w:rsidRPr="00E936DE" w:rsidRDefault="00E936DE" w:rsidP="00E936DE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Participe activamente en su uso, cuidado y transformación </w:t>
      </w:r>
    </w:p>
    <w:p w14:paraId="7FCA08EC" w14:textId="77777777" w:rsidR="00E936DE" w:rsidRPr="00E936DE" w:rsidRDefault="00E936DE" w:rsidP="00E936DE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Genere identidad y sentido de pertenencia </w:t>
      </w:r>
    </w:p>
    <w:p w14:paraId="04C5390E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Cultura de paz: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br/>
        <w:t>Mediante la activación de espacios públicos y actividades comunitarias, se promueve:</w:t>
      </w:r>
    </w:p>
    <w:p w14:paraId="1D2A702E" w14:textId="77777777" w:rsidR="00E936DE" w:rsidRPr="00E936DE" w:rsidRDefault="00E936DE" w:rsidP="00E936DE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La convivencia social en entornos seguros </w:t>
      </w:r>
    </w:p>
    <w:p w14:paraId="001E60FE" w14:textId="77777777" w:rsidR="00E936DE" w:rsidRPr="00E936DE" w:rsidRDefault="00E936DE" w:rsidP="00E936DE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La inclusión y participación ciudadana </w:t>
      </w:r>
    </w:p>
    <w:p w14:paraId="287BA04E" w14:textId="77777777" w:rsidR="00E936DE" w:rsidRPr="00E936DE" w:rsidRDefault="00E936DE" w:rsidP="00E936DE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La prevención de la violencia a través del uso positivo del espacio público </w:t>
      </w:r>
    </w:p>
    <w:p w14:paraId="29C19460" w14:textId="77777777" w:rsidR="00E936DE" w:rsidRPr="00E936DE" w:rsidRDefault="00E936DE" w:rsidP="00E936DE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El fortalecimiento del tejido social </w:t>
      </w:r>
    </w:p>
    <w:p w14:paraId="1A36EC32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7. Fortalezas y áreas de oportunidad</w:t>
      </w:r>
    </w:p>
    <w:p w14:paraId="480FF67C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Fortalezas:</w:t>
      </w:r>
    </w:p>
    <w:p w14:paraId="276FC5FF" w14:textId="77777777" w:rsidR="00E936DE" w:rsidRPr="00E936DE" w:rsidRDefault="00E936DE" w:rsidP="00E936DE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Existencia de infraestructura ferroviaria con valor histórico </w:t>
      </w:r>
    </w:p>
    <w:p w14:paraId="060B7E0A" w14:textId="77777777" w:rsidR="00E936DE" w:rsidRPr="00E936DE" w:rsidRDefault="00E936DE" w:rsidP="00E936DE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Enfoque integral (cultural, ambiental, social y económico) </w:t>
      </w:r>
    </w:p>
    <w:p w14:paraId="01EEF42B" w14:textId="77777777" w:rsidR="00E936DE" w:rsidRPr="00E936DE" w:rsidRDefault="00E936DE" w:rsidP="00E936DE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Potencial para generar turismo sostenible </w:t>
      </w:r>
    </w:p>
    <w:p w14:paraId="4719C161" w14:textId="77777777" w:rsidR="00E936DE" w:rsidRPr="00E936DE" w:rsidRDefault="00E936DE" w:rsidP="00E936DE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Capacidad de articular múltiples actores </w:t>
      </w:r>
    </w:p>
    <w:p w14:paraId="421C8314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lastRenderedPageBreak/>
        <w:t>Áreas de oportunidad:</w:t>
      </w:r>
    </w:p>
    <w:p w14:paraId="5ADD62C4" w14:textId="77777777" w:rsidR="00E936DE" w:rsidRPr="00E936DE" w:rsidRDefault="00E936DE" w:rsidP="00E936DE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Consolidar modelos de gestión sostenible de los espacios recuperados </w:t>
      </w:r>
    </w:p>
    <w:p w14:paraId="7A22E47F" w14:textId="77777777" w:rsidR="00E936DE" w:rsidRPr="00E936DE" w:rsidRDefault="00E936DE" w:rsidP="00E936DE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Incrementar la participación comunitaria en todas las etapas del programa </w:t>
      </w:r>
    </w:p>
    <w:p w14:paraId="27A4E089" w14:textId="77777777" w:rsidR="00E936DE" w:rsidRPr="00E936DE" w:rsidRDefault="00E936DE" w:rsidP="00E936DE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Fortalecer la difusión y acceso a la información patrimonial </w:t>
      </w:r>
    </w:p>
    <w:p w14:paraId="7B46C01B" w14:textId="77777777" w:rsidR="00E936DE" w:rsidRPr="00E936DE" w:rsidRDefault="00E936DE" w:rsidP="00E936DE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Asegurar mantenimiento y continuidad de las intervenciones </w:t>
      </w:r>
    </w:p>
    <w:p w14:paraId="6444D1EE" w14:textId="77777777" w:rsidR="00E936DE" w:rsidRPr="00E936DE" w:rsidRDefault="00E936DE" w:rsidP="00E936DE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Medir impactos en cohesión social y cultura de paz </w:t>
      </w:r>
    </w:p>
    <w:p w14:paraId="27745F56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8. Población objetivo</w:t>
      </w:r>
    </w:p>
    <w:p w14:paraId="367A2376" w14:textId="77777777" w:rsidR="00E936DE" w:rsidRPr="00E936DE" w:rsidRDefault="00E936DE" w:rsidP="00E936DE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Habitantes de municipios y regiones con infraestructura ferroviaria </w:t>
      </w:r>
    </w:p>
    <w:p w14:paraId="06AF28B5" w14:textId="77777777" w:rsidR="00E936DE" w:rsidRPr="00E936DE" w:rsidRDefault="00E936DE" w:rsidP="00E936DE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Comunidades locales con acceso limitado a espacios públicos de calidad </w:t>
      </w:r>
    </w:p>
    <w:p w14:paraId="08B95C22" w14:textId="77777777" w:rsidR="00E936DE" w:rsidRPr="00E936DE" w:rsidRDefault="00E936DE" w:rsidP="00E936DE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Jóvenes y familias </w:t>
      </w:r>
    </w:p>
    <w:p w14:paraId="4A10368E" w14:textId="77777777" w:rsidR="00E936DE" w:rsidRPr="00E936DE" w:rsidRDefault="00E936DE" w:rsidP="00E936DE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Actores culturales, turísticos y ambientales </w:t>
      </w:r>
    </w:p>
    <w:p w14:paraId="6B09B3E2" w14:textId="77777777" w:rsidR="00E936DE" w:rsidRPr="00E936DE" w:rsidRDefault="00E936DE" w:rsidP="00E936DE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Visitantes potenciales (turismo cultural y ecológico) </w:t>
      </w:r>
    </w:p>
    <w:p w14:paraId="2FC69F4C" w14:textId="1E7D7763" w:rsidR="00E936DE" w:rsidRPr="00E936DE" w:rsidRDefault="00E936DE" w:rsidP="00E936DE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MX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MX"/>
        </w:rPr>
        <w:t>9</w:t>
      </w: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. Conclusión diagnóstica</w:t>
      </w:r>
    </w:p>
    <w:p w14:paraId="71D9E193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El programa responde a una problemática compleja en la que el crecimiento económico ha ocurrido de manera desvinculada del patrimonio territorial. La recuperación y activación de la infraestructura ferroviaria representa una oportunidad estratégica para </w:t>
      </w: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reintegrar cultura, economía, medio ambiente y cohesión social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>.</w:t>
      </w:r>
    </w:p>
    <w:p w14:paraId="4EAFC2BB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  <w:r w:rsidRPr="00E936DE">
        <w:rPr>
          <w:rFonts w:ascii="Arial" w:eastAsia="Times New Roman" w:hAnsi="Arial" w:cs="Arial"/>
          <w:sz w:val="24"/>
          <w:szCs w:val="24"/>
          <w:lang w:eastAsia="es-MX"/>
        </w:rPr>
        <w:t xml:space="preserve">Su éxito dependerá de lograr que estos espacios no solo sean rehabilitados físicamente, sino </w:t>
      </w:r>
      <w:r w:rsidRPr="00E936DE">
        <w:rPr>
          <w:rFonts w:ascii="Arial" w:eastAsia="Times New Roman" w:hAnsi="Arial" w:cs="Arial"/>
          <w:b/>
          <w:bCs/>
          <w:sz w:val="24"/>
          <w:szCs w:val="24"/>
          <w:lang w:eastAsia="es-MX"/>
        </w:rPr>
        <w:t>socialmente apropiados</w:t>
      </w:r>
      <w:r w:rsidRPr="00E936DE">
        <w:rPr>
          <w:rFonts w:ascii="Arial" w:eastAsia="Times New Roman" w:hAnsi="Arial" w:cs="Arial"/>
          <w:sz w:val="24"/>
          <w:szCs w:val="24"/>
          <w:lang w:eastAsia="es-MX"/>
        </w:rPr>
        <w:t>, funcionando como catalizadores de identidad, bienestar y cultura de paz.</w:t>
      </w:r>
    </w:p>
    <w:p w14:paraId="12B05D2C" w14:textId="77777777" w:rsidR="00E936DE" w:rsidRPr="00E936DE" w:rsidRDefault="00E936DE" w:rsidP="00E936D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MX"/>
        </w:rPr>
      </w:pPr>
    </w:p>
    <w:sectPr w:rsidR="00E936DE" w:rsidRPr="00E936DE" w:rsidSect="00043A0B">
      <w:headerReference w:type="default" r:id="rId8"/>
      <w:footerReference w:type="default" r:id="rId9"/>
      <w:pgSz w:w="12240" w:h="15840"/>
      <w:pgMar w:top="2127" w:right="1041" w:bottom="720" w:left="993" w:header="708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E0A38" w14:textId="77777777" w:rsidR="009C62E9" w:rsidRDefault="009C62E9" w:rsidP="007B1FEB">
      <w:pPr>
        <w:spacing w:after="0" w:line="240" w:lineRule="auto"/>
      </w:pPr>
      <w:r>
        <w:separator/>
      </w:r>
    </w:p>
  </w:endnote>
  <w:endnote w:type="continuationSeparator" w:id="0">
    <w:p w14:paraId="70E48422" w14:textId="77777777" w:rsidR="009C62E9" w:rsidRDefault="009C62E9" w:rsidP="007B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tmeg Book"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85"/>
      <w:gridCol w:w="3386"/>
      <w:gridCol w:w="3427"/>
    </w:tblGrid>
    <w:tr w:rsidR="00AE7691" w:rsidRPr="00777B35" w14:paraId="01289A19" w14:textId="77777777" w:rsidTr="00AE7691">
      <w:tc>
        <w:tcPr>
          <w:tcW w:w="3538" w:type="dxa"/>
        </w:tcPr>
        <w:p w14:paraId="5767B5C6" w14:textId="77777777" w:rsidR="00AE7691" w:rsidRPr="00777B35" w:rsidRDefault="00AE7691" w:rsidP="00777B35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</w:p>
      </w:tc>
      <w:tc>
        <w:tcPr>
          <w:tcW w:w="3647" w:type="dxa"/>
        </w:tcPr>
        <w:p w14:paraId="40B5627E" w14:textId="77777777" w:rsidR="00AE7691" w:rsidRPr="00777B35" w:rsidRDefault="00777B35" w:rsidP="00EA52D4">
          <w:pPr>
            <w:pStyle w:val="Piedepgina"/>
            <w:rPr>
              <w:rFonts w:ascii="Century Gothic" w:hAnsi="Century Gothic"/>
              <w:b/>
              <w:sz w:val="16"/>
              <w:szCs w:val="16"/>
            </w:rPr>
          </w:pPr>
          <w:r>
            <w:rPr>
              <w:rFonts w:ascii="Century Gothic" w:hAnsi="Century Gothic"/>
              <w:b/>
              <w:sz w:val="16"/>
              <w:szCs w:val="16"/>
            </w:rPr>
            <w:t xml:space="preserve">                              </w:t>
          </w:r>
        </w:p>
      </w:tc>
      <w:tc>
        <w:tcPr>
          <w:tcW w:w="3647" w:type="dxa"/>
        </w:tcPr>
        <w:sdt>
          <w:sdtPr>
            <w:rPr>
              <w:rFonts w:ascii="Century Gothic" w:hAnsi="Century Gothic" w:cs="Arial"/>
              <w:b/>
              <w:sz w:val="16"/>
              <w:szCs w:val="16"/>
            </w:rPr>
            <w:id w:val="676466578"/>
            <w:docPartObj>
              <w:docPartGallery w:val="Page Numbers (Bottom of Page)"/>
              <w:docPartUnique/>
            </w:docPartObj>
          </w:sdtPr>
          <w:sdtEndPr/>
          <w:sdtContent>
            <w:p w14:paraId="09905564" w14:textId="77777777" w:rsidR="00AE7691" w:rsidRPr="00777B35" w:rsidRDefault="00AE7691" w:rsidP="00822FF0">
              <w:pPr>
                <w:pStyle w:val="Piedepgina"/>
                <w:jc w:val="right"/>
                <w:rPr>
                  <w:rFonts w:ascii="Century Gothic" w:hAnsi="Century Gothic" w:cs="Arial"/>
                  <w:b/>
                  <w:sz w:val="16"/>
                  <w:szCs w:val="16"/>
                </w:rPr>
              </w:pP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Página 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begin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instrText>PAGE  \* Arabic  \* MERGEFORMAT</w:instrTex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separate"/>
              </w:r>
              <w:r w:rsid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</w:rPr>
                <w:fldChar w:fldCharType="end"/>
              </w:r>
              <w:r w:rsidRPr="00777B35">
                <w:rPr>
                  <w:rFonts w:ascii="Century Gothic" w:hAnsi="Century Gothic" w:cs="Arial"/>
                  <w:b/>
                  <w:sz w:val="16"/>
                  <w:szCs w:val="16"/>
                  <w:lang w:val="es-ES"/>
                </w:rPr>
                <w:t xml:space="preserve"> de </w:t>
              </w:r>
              <w:r w:rsidR="009E798E" w:rsidRPr="00777B35">
                <w:rPr>
                  <w:sz w:val="16"/>
                  <w:szCs w:val="16"/>
                </w:rPr>
                <w:fldChar w:fldCharType="begin"/>
              </w:r>
              <w:r w:rsidR="009E798E" w:rsidRPr="00777B35">
                <w:rPr>
                  <w:sz w:val="16"/>
                  <w:szCs w:val="16"/>
                </w:rPr>
                <w:instrText>NUMPAGES  \* Arabic  \* MERGEFORMAT</w:instrText>
              </w:r>
              <w:r w:rsidR="009E798E" w:rsidRPr="00777B35">
                <w:rPr>
                  <w:sz w:val="16"/>
                  <w:szCs w:val="16"/>
                </w:rPr>
                <w:fldChar w:fldCharType="separate"/>
              </w:r>
              <w:r w:rsidR="00F138C8" w:rsidRPr="00F138C8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t>1</w:t>
              </w:r>
              <w:r w:rsidR="009E798E" w:rsidRPr="00777B35">
                <w:rPr>
                  <w:rFonts w:ascii="Century Gothic" w:hAnsi="Century Gothic" w:cs="Arial"/>
                  <w:b/>
                  <w:noProof/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0DAC707A" w14:textId="77777777" w:rsidR="00CC21EA" w:rsidRPr="00AE7691" w:rsidRDefault="00673573" w:rsidP="00AE7691">
    <w:pPr>
      <w:pStyle w:val="Piedepgina"/>
      <w:jc w:val="right"/>
      <w:rPr>
        <w:rFonts w:ascii="Arial" w:hAnsi="Arial" w:cs="Arial"/>
        <w:sz w:val="20"/>
        <w:szCs w:val="20"/>
      </w:rPr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61FF178" wp14:editId="227F79F6">
              <wp:simplePos x="0" y="0"/>
              <wp:positionH relativeFrom="column">
                <wp:posOffset>-628650</wp:posOffset>
              </wp:positionH>
              <wp:positionV relativeFrom="paragraph">
                <wp:posOffset>89535</wp:posOffset>
              </wp:positionV>
              <wp:extent cx="7823835" cy="304800"/>
              <wp:effectExtent l="0" t="0" r="5715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304800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3D73AA64" w14:textId="77777777" w:rsidR="00777B35" w:rsidRPr="00043A0B" w:rsidRDefault="00777B35" w:rsidP="00777B35">
                          <w:pPr>
                            <w:jc w:val="center"/>
                            <w:rPr>
                              <w:b/>
                              <w:color w:val="323E4F" w:themeColor="text2" w:themeShade="BF"/>
                            </w:rPr>
                          </w:pPr>
                          <w:r w:rsidRPr="00043A0B">
                            <w:rPr>
                              <w:b/>
                              <w:color w:val="323E4F" w:themeColor="text2" w:themeShade="BF"/>
                              <w:spacing w:val="20"/>
                              <w:lang w:val="es-ES"/>
                            </w:rPr>
                            <w:t>programas.app.jalisco.gob.mx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1FF178" id="Rectángulo 3" o:spid="_x0000_s1026" style="position:absolute;left:0;text-align:left;margin-left:-49.5pt;margin-top:7.05pt;width:616.0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" fillcolor="#ff8300" stroked="f">
              <v:textbox>
                <w:txbxContent>
                  <w:p w14:paraId="3D73AA64" w14:textId="77777777" w:rsidR="00777B35" w:rsidRPr="00043A0B" w:rsidRDefault="00777B35" w:rsidP="00777B35">
                    <w:pPr>
                      <w:jc w:val="center"/>
                      <w:rPr>
                        <w:b/>
                        <w:color w:val="323E4F" w:themeColor="text2" w:themeShade="BF"/>
                      </w:rPr>
                    </w:pPr>
                    <w:r w:rsidRPr="00043A0B">
                      <w:rPr>
                        <w:b/>
                        <w:color w:val="323E4F" w:themeColor="text2" w:themeShade="BF"/>
                        <w:spacing w:val="20"/>
                        <w:lang w:val="es-ES"/>
                      </w:rPr>
                      <w:t>programas.app.jalisco.gob.mx</w:t>
                    </w:r>
                  </w:p>
                </w:txbxContent>
              </v:textbox>
            </v:rect>
          </w:pict>
        </mc:Fallback>
      </mc:AlternateContent>
    </w:r>
    <w:r w:rsidR="00AE7691">
      <w:rPr>
        <w:rFonts w:ascii="Arial" w:hAnsi="Arial" w:cs="Arial"/>
        <w:sz w:val="20"/>
        <w:szCs w:val="20"/>
      </w:rPr>
      <w:t xml:space="preserve"> </w:t>
    </w:r>
    <w:sdt>
      <w:sdtPr>
        <w:rPr>
          <w:rFonts w:ascii="Arial" w:hAnsi="Arial" w:cs="Arial"/>
          <w:sz w:val="20"/>
          <w:szCs w:val="20"/>
        </w:rPr>
        <w:id w:val="-1673488533"/>
        <w:docPartObj>
          <w:docPartGallery w:val="Page Numbers (Bottom of Page)"/>
          <w:docPartUnique/>
        </w:docPartObj>
      </w:sdtPr>
      <w:sdtEndPr/>
      <w:sdtContent/>
    </w:sdt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F76A564" wp14:editId="55B3AAB2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640CCD8" id="Rectángulo 2" o:spid="_x0000_s1026" style="position:absolute;margin-left:-8.15pt;margin-top:769.15pt;width:616.05pt;height:13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" fillcolor="#ff8300" stroked="f"/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8A83F6F" wp14:editId="19967E30">
              <wp:simplePos x="0" y="0"/>
              <wp:positionH relativeFrom="column">
                <wp:posOffset>-103505</wp:posOffset>
              </wp:positionH>
              <wp:positionV relativeFrom="paragraph">
                <wp:posOffset>9768205</wp:posOffset>
              </wp:positionV>
              <wp:extent cx="7823835" cy="175895"/>
              <wp:effectExtent l="0" t="0" r="0" b="0"/>
              <wp:wrapNone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23835" cy="175895"/>
                      </a:xfrm>
                      <a:prstGeom prst="rect">
                        <a:avLst/>
                      </a:prstGeom>
                      <a:solidFill>
                        <a:srgbClr val="FF83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901FD7" id="Rectángulo 1" o:spid="_x0000_s1026" style="position:absolute;margin-left:-8.15pt;margin-top:769.15pt;width:616.05pt;height:1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" fillcolor="#ff8300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38B4C" w14:textId="77777777" w:rsidR="009C62E9" w:rsidRDefault="009C62E9" w:rsidP="007B1FEB">
      <w:pPr>
        <w:spacing w:after="0" w:line="240" w:lineRule="auto"/>
      </w:pPr>
      <w:r>
        <w:separator/>
      </w:r>
    </w:p>
  </w:footnote>
  <w:footnote w:type="continuationSeparator" w:id="0">
    <w:p w14:paraId="65F6FE3B" w14:textId="77777777" w:rsidR="009C62E9" w:rsidRDefault="009C62E9" w:rsidP="007B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0"/>
      <w:gridCol w:w="3403"/>
      <w:gridCol w:w="3403"/>
    </w:tblGrid>
    <w:tr w:rsidR="00E36D60" w14:paraId="706B41C8" w14:textId="77777777" w:rsidTr="003255DE">
      <w:trPr>
        <w:trHeight w:val="851"/>
      </w:trPr>
      <w:tc>
        <w:tcPr>
          <w:tcW w:w="1666" w:type="pct"/>
          <w:shd w:val="clear" w:color="auto" w:fill="auto"/>
        </w:tcPr>
        <w:p w14:paraId="26ED16CE" w14:textId="77777777" w:rsid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 w:rsidRPr="00CB7A0D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3360" behindDoc="0" locked="0" layoutInCell="1" allowOverlap="1" wp14:anchorId="6D16F6C7" wp14:editId="25063255">
                <wp:simplePos x="0" y="0"/>
                <wp:positionH relativeFrom="column">
                  <wp:posOffset>17145</wp:posOffset>
                </wp:positionH>
                <wp:positionV relativeFrom="paragraph">
                  <wp:posOffset>-40005</wp:posOffset>
                </wp:positionV>
                <wp:extent cx="2047875" cy="548201"/>
                <wp:effectExtent l="0" t="0" r="0" b="4445"/>
                <wp:wrapNone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72" t="11225" r="5052" b="13575"/>
                        <a:stretch/>
                      </pic:blipFill>
                      <pic:spPr bwMode="auto">
                        <a:xfrm>
                          <a:off x="0" y="0"/>
                          <a:ext cx="2047875" cy="5482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7090945B" w14:textId="77777777" w:rsidR="00E36D60" w:rsidRDefault="003255DE" w:rsidP="00E36D60">
          <w:pPr>
            <w:pStyle w:val="Encabezado"/>
            <w:jc w:val="center"/>
            <w:rPr>
              <w:rFonts w:ascii="Arial" w:hAnsi="Arial" w:cs="Arial"/>
              <w:color w:val="404040" w:themeColor="text1" w:themeTint="BF"/>
              <w:sz w:val="18"/>
              <w:szCs w:val="18"/>
            </w:rPr>
          </w:pPr>
          <w:r>
            <w:rPr>
              <w:rFonts w:ascii="Nutmeg Book" w:eastAsia="Nutmeg Book" w:hAnsi="Nutmeg Book" w:cs="Nutmeg Book"/>
              <w:noProof/>
              <w:sz w:val="26"/>
              <w:szCs w:val="26"/>
              <w:lang w:eastAsia="es-MX"/>
            </w:rPr>
            <w:drawing>
              <wp:anchor distT="0" distB="0" distL="114300" distR="114300" simplePos="0" relativeHeight="251673600" behindDoc="0" locked="0" layoutInCell="1" allowOverlap="1" wp14:anchorId="79C5B6AD" wp14:editId="30FDF5D9">
                <wp:simplePos x="0" y="0"/>
                <wp:positionH relativeFrom="column">
                  <wp:posOffset>837565</wp:posOffset>
                </wp:positionH>
                <wp:positionV relativeFrom="paragraph">
                  <wp:posOffset>-44450</wp:posOffset>
                </wp:positionV>
                <wp:extent cx="1257300" cy="505185"/>
                <wp:effectExtent l="0" t="0" r="0" b="9525"/>
                <wp:wrapNone/>
                <wp:docPr id="5" name="Picture 5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1" name="Picture 51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505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67" w:type="pct"/>
          <w:shd w:val="clear" w:color="auto" w:fill="auto"/>
        </w:tcPr>
        <w:p w14:paraId="759857BF" w14:textId="77777777" w:rsidR="00E36D60" w:rsidRPr="00E36D60" w:rsidRDefault="003255DE" w:rsidP="00CB7A0D">
          <w:pPr>
            <w:pStyle w:val="Encabezado"/>
            <w:rPr>
              <w:rFonts w:ascii="Arial" w:hAnsi="Arial" w:cs="Arial"/>
              <w:color w:val="404040" w:themeColor="text1" w:themeTint="BF"/>
              <w:sz w:val="20"/>
              <w:szCs w:val="20"/>
            </w:rPr>
          </w:pPr>
          <w:r w:rsidRPr="00E36D60">
            <w:rPr>
              <w:noProof/>
              <w:color w:val="404040" w:themeColor="text1" w:themeTint="BF"/>
              <w:sz w:val="16"/>
              <w:szCs w:val="16"/>
              <w:lang w:eastAsia="es-MX"/>
            </w:rPr>
            <w:drawing>
              <wp:anchor distT="0" distB="0" distL="114300" distR="114300" simplePos="0" relativeHeight="251665408" behindDoc="0" locked="0" layoutInCell="1" allowOverlap="1" wp14:anchorId="19CD47FF" wp14:editId="734FC405">
                <wp:simplePos x="0" y="0"/>
                <wp:positionH relativeFrom="column">
                  <wp:posOffset>1122680</wp:posOffset>
                </wp:positionH>
                <wp:positionV relativeFrom="paragraph">
                  <wp:posOffset>-190500</wp:posOffset>
                </wp:positionV>
                <wp:extent cx="694794" cy="657225"/>
                <wp:effectExtent l="0" t="0" r="0" b="0"/>
                <wp:wrapNone/>
                <wp:docPr id="6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009" t="8174" r="76056" b="9412"/>
                        <a:stretch/>
                      </pic:blipFill>
                      <pic:spPr bwMode="auto">
                        <a:xfrm>
                          <a:off x="0" y="0"/>
                          <a:ext cx="694794" cy="657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5DC7782F" w14:textId="77777777" w:rsidR="00CC21EA" w:rsidRPr="00E36D60" w:rsidRDefault="00CC21EA" w:rsidP="00CB7A0D">
    <w:pPr>
      <w:pStyle w:val="Encabezado"/>
      <w:rPr>
        <w:rFonts w:ascii="Arial" w:hAnsi="Arial" w:cs="Arial"/>
        <w:color w:val="404040" w:themeColor="text1" w:themeTint="B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0746B"/>
    <w:multiLevelType w:val="multilevel"/>
    <w:tmpl w:val="FF2A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939B3"/>
    <w:multiLevelType w:val="multilevel"/>
    <w:tmpl w:val="AE6255AE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b/>
        <w:color w:val="767171" w:themeColor="background2" w:themeShade="80"/>
      </w:rPr>
    </w:lvl>
    <w:lvl w:ilvl="1">
      <w:start w:val="1"/>
      <w:numFmt w:val="upperRoman"/>
      <w:lvlText w:val="%2."/>
      <w:lvlJc w:val="left"/>
      <w:pPr>
        <w:ind w:left="5475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619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9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6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83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0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7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515" w:hanging="180"/>
      </w:pPr>
      <w:rPr>
        <w:rFonts w:hint="default"/>
      </w:rPr>
    </w:lvl>
  </w:abstractNum>
  <w:abstractNum w:abstractNumId="2" w15:restartNumberingAfterBreak="0">
    <w:nsid w:val="14DD206E"/>
    <w:multiLevelType w:val="multilevel"/>
    <w:tmpl w:val="AD423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D1798A"/>
    <w:multiLevelType w:val="multilevel"/>
    <w:tmpl w:val="DA34A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FC0AFB"/>
    <w:multiLevelType w:val="multilevel"/>
    <w:tmpl w:val="CEE01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E629F0"/>
    <w:multiLevelType w:val="multilevel"/>
    <w:tmpl w:val="30D60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1473AF"/>
    <w:multiLevelType w:val="multilevel"/>
    <w:tmpl w:val="C4907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270AC8"/>
    <w:multiLevelType w:val="multilevel"/>
    <w:tmpl w:val="B1B4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940795"/>
    <w:multiLevelType w:val="multilevel"/>
    <w:tmpl w:val="07D03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F43ED0"/>
    <w:multiLevelType w:val="multilevel"/>
    <w:tmpl w:val="C7A82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6F1980"/>
    <w:multiLevelType w:val="multilevel"/>
    <w:tmpl w:val="E668C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7E2944"/>
    <w:multiLevelType w:val="multilevel"/>
    <w:tmpl w:val="89BEA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EE6EE2"/>
    <w:multiLevelType w:val="multilevel"/>
    <w:tmpl w:val="2A267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0A1F93"/>
    <w:multiLevelType w:val="multilevel"/>
    <w:tmpl w:val="E4424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6B59E1"/>
    <w:multiLevelType w:val="multilevel"/>
    <w:tmpl w:val="8C307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954EF1"/>
    <w:multiLevelType w:val="multilevel"/>
    <w:tmpl w:val="8110E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8140C2"/>
    <w:multiLevelType w:val="multilevel"/>
    <w:tmpl w:val="0C00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9CF4041"/>
    <w:multiLevelType w:val="multilevel"/>
    <w:tmpl w:val="9F867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7"/>
  </w:num>
  <w:num w:numId="4">
    <w:abstractNumId w:val="4"/>
  </w:num>
  <w:num w:numId="5">
    <w:abstractNumId w:val="16"/>
  </w:num>
  <w:num w:numId="6">
    <w:abstractNumId w:val="13"/>
  </w:num>
  <w:num w:numId="7">
    <w:abstractNumId w:val="12"/>
  </w:num>
  <w:num w:numId="8">
    <w:abstractNumId w:val="6"/>
  </w:num>
  <w:num w:numId="9">
    <w:abstractNumId w:val="11"/>
  </w:num>
  <w:num w:numId="10">
    <w:abstractNumId w:val="10"/>
  </w:num>
  <w:num w:numId="11">
    <w:abstractNumId w:val="3"/>
  </w:num>
  <w:num w:numId="12">
    <w:abstractNumId w:val="15"/>
  </w:num>
  <w:num w:numId="13">
    <w:abstractNumId w:val="14"/>
  </w:num>
  <w:num w:numId="14">
    <w:abstractNumId w:val="2"/>
  </w:num>
  <w:num w:numId="15">
    <w:abstractNumId w:val="5"/>
  </w:num>
  <w:num w:numId="16">
    <w:abstractNumId w:val="7"/>
  </w:num>
  <w:num w:numId="17">
    <w:abstractNumId w:val="9"/>
  </w:num>
  <w:num w:numId="18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50"/>
    <w:rsid w:val="00011D35"/>
    <w:rsid w:val="000207F0"/>
    <w:rsid w:val="0003521A"/>
    <w:rsid w:val="00043A0B"/>
    <w:rsid w:val="000554E9"/>
    <w:rsid w:val="00070040"/>
    <w:rsid w:val="000741E0"/>
    <w:rsid w:val="00076C77"/>
    <w:rsid w:val="0009330C"/>
    <w:rsid w:val="000A3E6C"/>
    <w:rsid w:val="000B1058"/>
    <w:rsid w:val="000D0550"/>
    <w:rsid w:val="000F7ABA"/>
    <w:rsid w:val="00121727"/>
    <w:rsid w:val="00147AF9"/>
    <w:rsid w:val="00177089"/>
    <w:rsid w:val="00183D6D"/>
    <w:rsid w:val="001A41CE"/>
    <w:rsid w:val="001B00F3"/>
    <w:rsid w:val="001B5D19"/>
    <w:rsid w:val="001E270F"/>
    <w:rsid w:val="00202EFB"/>
    <w:rsid w:val="00213273"/>
    <w:rsid w:val="002161C2"/>
    <w:rsid w:val="002302D1"/>
    <w:rsid w:val="00232252"/>
    <w:rsid w:val="002463DE"/>
    <w:rsid w:val="00255BCC"/>
    <w:rsid w:val="002723DF"/>
    <w:rsid w:val="002762C5"/>
    <w:rsid w:val="002A3FAE"/>
    <w:rsid w:val="003255DE"/>
    <w:rsid w:val="0035394A"/>
    <w:rsid w:val="003555FD"/>
    <w:rsid w:val="00362F42"/>
    <w:rsid w:val="003756F7"/>
    <w:rsid w:val="00380FDA"/>
    <w:rsid w:val="0038279D"/>
    <w:rsid w:val="003A4F07"/>
    <w:rsid w:val="003C42E8"/>
    <w:rsid w:val="003C7704"/>
    <w:rsid w:val="00443319"/>
    <w:rsid w:val="00451ECE"/>
    <w:rsid w:val="00472E74"/>
    <w:rsid w:val="0049043A"/>
    <w:rsid w:val="004A1AB8"/>
    <w:rsid w:val="004C5626"/>
    <w:rsid w:val="004C6EBE"/>
    <w:rsid w:val="004C7264"/>
    <w:rsid w:val="004D0D17"/>
    <w:rsid w:val="004D1623"/>
    <w:rsid w:val="004D6767"/>
    <w:rsid w:val="004E169B"/>
    <w:rsid w:val="0051275C"/>
    <w:rsid w:val="005577BA"/>
    <w:rsid w:val="00575081"/>
    <w:rsid w:val="00593841"/>
    <w:rsid w:val="005B4BA5"/>
    <w:rsid w:val="005C2F67"/>
    <w:rsid w:val="005C673B"/>
    <w:rsid w:val="005F57B2"/>
    <w:rsid w:val="006075E5"/>
    <w:rsid w:val="006513D2"/>
    <w:rsid w:val="0065650A"/>
    <w:rsid w:val="00673573"/>
    <w:rsid w:val="006A7331"/>
    <w:rsid w:val="006F6EE8"/>
    <w:rsid w:val="00751B1B"/>
    <w:rsid w:val="00760328"/>
    <w:rsid w:val="00777B35"/>
    <w:rsid w:val="0079720D"/>
    <w:rsid w:val="007B1FEB"/>
    <w:rsid w:val="007B6317"/>
    <w:rsid w:val="007C24C7"/>
    <w:rsid w:val="007D1C39"/>
    <w:rsid w:val="007F1441"/>
    <w:rsid w:val="007F5A90"/>
    <w:rsid w:val="00811BEC"/>
    <w:rsid w:val="0081217B"/>
    <w:rsid w:val="00822FF0"/>
    <w:rsid w:val="008359F2"/>
    <w:rsid w:val="00835BEA"/>
    <w:rsid w:val="00837687"/>
    <w:rsid w:val="00842EFE"/>
    <w:rsid w:val="00891878"/>
    <w:rsid w:val="008C0BDE"/>
    <w:rsid w:val="008D5C40"/>
    <w:rsid w:val="008D5EAD"/>
    <w:rsid w:val="008F2E1A"/>
    <w:rsid w:val="00957951"/>
    <w:rsid w:val="00957BBC"/>
    <w:rsid w:val="00960867"/>
    <w:rsid w:val="009901DE"/>
    <w:rsid w:val="009C62E9"/>
    <w:rsid w:val="009E0775"/>
    <w:rsid w:val="009E798E"/>
    <w:rsid w:val="00A64AC1"/>
    <w:rsid w:val="00A6602C"/>
    <w:rsid w:val="00A81DA9"/>
    <w:rsid w:val="00AD7B00"/>
    <w:rsid w:val="00AE7691"/>
    <w:rsid w:val="00AF5580"/>
    <w:rsid w:val="00B126D3"/>
    <w:rsid w:val="00B127F2"/>
    <w:rsid w:val="00B13478"/>
    <w:rsid w:val="00B16CCD"/>
    <w:rsid w:val="00B479F6"/>
    <w:rsid w:val="00B835C5"/>
    <w:rsid w:val="00BA161D"/>
    <w:rsid w:val="00BA5332"/>
    <w:rsid w:val="00C54EF1"/>
    <w:rsid w:val="00C66B44"/>
    <w:rsid w:val="00C72F80"/>
    <w:rsid w:val="00C90D9C"/>
    <w:rsid w:val="00C91609"/>
    <w:rsid w:val="00CA635C"/>
    <w:rsid w:val="00CB7A0D"/>
    <w:rsid w:val="00CC21EA"/>
    <w:rsid w:val="00CC22F6"/>
    <w:rsid w:val="00CD2C85"/>
    <w:rsid w:val="00CD715F"/>
    <w:rsid w:val="00CE2DA3"/>
    <w:rsid w:val="00D624CC"/>
    <w:rsid w:val="00D80748"/>
    <w:rsid w:val="00DD32B0"/>
    <w:rsid w:val="00E104FB"/>
    <w:rsid w:val="00E36D60"/>
    <w:rsid w:val="00E40F0E"/>
    <w:rsid w:val="00E57CFB"/>
    <w:rsid w:val="00E70AF9"/>
    <w:rsid w:val="00E936DE"/>
    <w:rsid w:val="00EA52D4"/>
    <w:rsid w:val="00EB67E5"/>
    <w:rsid w:val="00EC394B"/>
    <w:rsid w:val="00EC4916"/>
    <w:rsid w:val="00ED7560"/>
    <w:rsid w:val="00F02329"/>
    <w:rsid w:val="00F1019E"/>
    <w:rsid w:val="00F138C8"/>
    <w:rsid w:val="00F24CEF"/>
    <w:rsid w:val="00F40472"/>
    <w:rsid w:val="00F47997"/>
    <w:rsid w:val="00F55BA4"/>
    <w:rsid w:val="00F718A2"/>
    <w:rsid w:val="00F879FF"/>
    <w:rsid w:val="00F92CAE"/>
    <w:rsid w:val="00FC005D"/>
    <w:rsid w:val="00FD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611A27"/>
  <w15:docId w15:val="{12D5B10A-FEAC-4363-80AD-5247F07EC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560"/>
  </w:style>
  <w:style w:type="paragraph" w:styleId="Ttulo3">
    <w:name w:val="heading 3"/>
    <w:basedOn w:val="Normal"/>
    <w:link w:val="Ttulo3Car"/>
    <w:uiPriority w:val="9"/>
    <w:qFormat/>
    <w:rsid w:val="00F24C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055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1FEB"/>
  </w:style>
  <w:style w:type="paragraph" w:styleId="Piedepgina">
    <w:name w:val="footer"/>
    <w:basedOn w:val="Normal"/>
    <w:link w:val="PiedepginaCar"/>
    <w:uiPriority w:val="99"/>
    <w:unhideWhenUsed/>
    <w:rsid w:val="007B1F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1FEB"/>
  </w:style>
  <w:style w:type="table" w:styleId="Tablaconcuadrcula">
    <w:name w:val="Table Grid"/>
    <w:basedOn w:val="Tablanormal"/>
    <w:uiPriority w:val="39"/>
    <w:rsid w:val="004C6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9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1609"/>
    <w:rPr>
      <w:rFonts w:ascii="Segoe UI" w:hAnsi="Segoe UI" w:cs="Segoe UI"/>
      <w:sz w:val="18"/>
      <w:szCs w:val="18"/>
    </w:rPr>
  </w:style>
  <w:style w:type="table" w:customStyle="1" w:styleId="Tabladecuadrcula5oscura-nfasis31">
    <w:name w:val="Tabla de cuadrícula 5 oscura - Énfasis 31"/>
    <w:basedOn w:val="Tablanormal"/>
    <w:uiPriority w:val="50"/>
    <w:rsid w:val="00575081"/>
    <w:pPr>
      <w:spacing w:after="0" w:line="240" w:lineRule="auto"/>
    </w:pPr>
    <w:tblPr>
      <w:tblStyleRowBandSize w:val="1"/>
      <w:tblStyleColBandSize w:val="1"/>
      <w:tblBorders>
        <w:top w:val="single" w:sz="4" w:space="0" w:color="D5DCE4" w:themeColor="text2" w:themeTint="33"/>
        <w:left w:val="single" w:sz="4" w:space="0" w:color="D5DCE4" w:themeColor="text2" w:themeTint="33"/>
        <w:bottom w:val="single" w:sz="4" w:space="0" w:color="D5DCE4" w:themeColor="text2" w:themeTint="33"/>
        <w:right w:val="single" w:sz="4" w:space="0" w:color="D5DCE4" w:themeColor="text2" w:themeTint="33"/>
        <w:insideH w:val="single" w:sz="4" w:space="0" w:color="D5DCE4" w:themeColor="text2" w:themeTint="33"/>
        <w:insideV w:val="single" w:sz="4" w:space="0" w:color="D5DCE4" w:themeColor="text2" w:themeTint="33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NormalWeb">
    <w:name w:val="Normal (Web)"/>
    <w:basedOn w:val="Normal"/>
    <w:uiPriority w:val="99"/>
    <w:semiHidden/>
    <w:unhideWhenUsed/>
    <w:rsid w:val="003C4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CD2C85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F24CEF"/>
    <w:rPr>
      <w:rFonts w:ascii="Times New Roman" w:eastAsia="Times New Roman" w:hAnsi="Times New Roman" w:cs="Times New Roman"/>
      <w:b/>
      <w:bCs/>
      <w:sz w:val="27"/>
      <w:szCs w:val="27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8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02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A9D67-3CC3-4341-B65E-BBF005A38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750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Viridiana Álvarez</cp:lastModifiedBy>
  <cp:revision>28</cp:revision>
  <cp:lastPrinted>2025-03-13T17:59:00Z</cp:lastPrinted>
  <dcterms:created xsi:type="dcterms:W3CDTF">2025-03-13T17:45:00Z</dcterms:created>
  <dcterms:modified xsi:type="dcterms:W3CDTF">2026-04-30T16:39:00Z</dcterms:modified>
</cp:coreProperties>
</file>