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5E862" w14:textId="1E0F8D1C" w:rsidR="001A41CE" w:rsidRPr="001A41CE" w:rsidRDefault="003C42E8" w:rsidP="001A41CE">
      <w:pPr>
        <w:pBdr>
          <w:top w:val="single" w:sz="4" w:space="1" w:color="D5DCE4" w:themeColor="text2" w:themeTint="33"/>
          <w:left w:val="single" w:sz="4" w:space="0"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hd w:val="clear" w:color="auto" w:fill="8296A9"/>
        <w:spacing w:after="0" w:line="360" w:lineRule="auto"/>
        <w:jc w:val="center"/>
        <w:textAlignment w:val="baseline"/>
        <w:rPr>
          <w:rFonts w:ascii="Arial" w:eastAsia="Times New Roman" w:hAnsi="Arial" w:cs="Arial"/>
          <w:b/>
          <w:bCs/>
          <w:color w:val="FFFFFF" w:themeColor="background1"/>
          <w:sz w:val="10"/>
          <w:szCs w:val="10"/>
          <w:lang w:eastAsia="es-ES_tradnl"/>
        </w:rPr>
      </w:pPr>
      <w:r>
        <w:rPr>
          <w:rFonts w:ascii="Arial" w:eastAsia="Times New Roman" w:hAnsi="Arial" w:cs="Arial"/>
          <w:b/>
          <w:bCs/>
          <w:color w:val="FFFFFF" w:themeColor="background1"/>
          <w:spacing w:val="20"/>
          <w:w w:val="150"/>
          <w:sz w:val="24"/>
          <w:szCs w:val="24"/>
          <w:lang w:eastAsia="es-ES_tradnl"/>
        </w:rPr>
        <w:t>DIAGNÓSTICO</w:t>
      </w:r>
    </w:p>
    <w:p w14:paraId="79B0BD22" w14:textId="0662AB00" w:rsidR="001A41CE" w:rsidRPr="00835BEA"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sz w:val="24"/>
          <w:szCs w:val="24"/>
          <w:lang w:eastAsia="es-ES_tradnl"/>
        </w:rPr>
      </w:pPr>
      <w:r w:rsidRPr="001A41CE">
        <w:rPr>
          <w:rFonts w:ascii="Arial" w:eastAsia="Times New Roman" w:hAnsi="Arial" w:cs="Arial"/>
          <w:b/>
          <w:bCs/>
          <w:color w:val="8296A9"/>
          <w:sz w:val="24"/>
          <w:szCs w:val="24"/>
          <w:lang w:eastAsia="es-ES_tradnl"/>
        </w:rPr>
        <w:t>Dependencia:</w:t>
      </w:r>
      <w:r w:rsidR="00835BEA">
        <w:rPr>
          <w:rFonts w:ascii="Arial" w:eastAsia="Times New Roman" w:hAnsi="Arial" w:cs="Arial"/>
          <w:b/>
          <w:bCs/>
          <w:color w:val="8296A9"/>
          <w:sz w:val="24"/>
          <w:szCs w:val="24"/>
          <w:lang w:eastAsia="es-ES_tradnl"/>
        </w:rPr>
        <w:t xml:space="preserve"> </w:t>
      </w:r>
      <w:r w:rsidR="00835BEA" w:rsidRPr="00835BEA">
        <w:rPr>
          <w:rFonts w:ascii="Arial" w:eastAsia="Times New Roman" w:hAnsi="Arial" w:cs="Arial"/>
          <w:b/>
          <w:bCs/>
          <w:sz w:val="24"/>
          <w:szCs w:val="24"/>
          <w:lang w:eastAsia="es-ES_tradnl"/>
        </w:rPr>
        <w:t>Secretaría de Cultura</w:t>
      </w:r>
    </w:p>
    <w:p w14:paraId="0C54B0C6" w14:textId="0819BE31" w:rsidR="001A41CE" w:rsidRPr="001A41CE"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color w:val="8296A9"/>
          <w:sz w:val="24"/>
          <w:szCs w:val="24"/>
          <w:lang w:eastAsia="es-ES_tradnl"/>
        </w:rPr>
      </w:pPr>
      <w:r w:rsidRPr="001A41CE">
        <w:rPr>
          <w:rFonts w:ascii="Arial" w:eastAsia="Times New Roman" w:hAnsi="Arial" w:cs="Arial"/>
          <w:b/>
          <w:bCs/>
          <w:color w:val="8296A9"/>
          <w:sz w:val="24"/>
          <w:szCs w:val="24"/>
          <w:lang w:eastAsia="es-ES_tradnl"/>
        </w:rPr>
        <w:t>Nombre del programa:</w:t>
      </w:r>
      <w:r w:rsidR="00835BEA">
        <w:rPr>
          <w:rFonts w:ascii="Arial" w:eastAsia="Times New Roman" w:hAnsi="Arial" w:cs="Arial"/>
          <w:b/>
          <w:bCs/>
          <w:color w:val="8296A9"/>
          <w:sz w:val="24"/>
          <w:szCs w:val="24"/>
          <w:lang w:eastAsia="es-ES_tradnl"/>
        </w:rPr>
        <w:t xml:space="preserve"> </w:t>
      </w:r>
      <w:r w:rsidR="00593841" w:rsidRPr="00593841">
        <w:rPr>
          <w:rFonts w:ascii="Arial" w:eastAsia="Times New Roman" w:hAnsi="Arial" w:cs="Arial"/>
          <w:b/>
          <w:bCs/>
          <w:sz w:val="24"/>
          <w:szCs w:val="24"/>
          <w:lang w:eastAsia="es-ES_tradnl"/>
        </w:rPr>
        <w:t>Programa Fondo Talleres en Casas de la Cultura</w:t>
      </w:r>
    </w:p>
    <w:p w14:paraId="2E225678" w14:textId="77777777" w:rsidR="00CD2C85" w:rsidRDefault="00CD2C85" w:rsidP="00CD2C85">
      <w:pPr>
        <w:shd w:val="clear" w:color="auto" w:fill="FFFFFF"/>
        <w:spacing w:after="0" w:line="240" w:lineRule="auto"/>
        <w:textAlignment w:val="baseline"/>
        <w:rPr>
          <w:rFonts w:ascii="Dosis" w:eastAsia="Times New Roman" w:hAnsi="Dosis" w:cs="Times New Roman"/>
          <w:b/>
          <w:bCs/>
          <w:color w:val="000000"/>
          <w:sz w:val="20"/>
          <w:szCs w:val="20"/>
          <w:bdr w:val="none" w:sz="0" w:space="0" w:color="auto" w:frame="1"/>
          <w:lang w:eastAsia="es-MX"/>
        </w:rPr>
      </w:pPr>
    </w:p>
    <w:p w14:paraId="42C93927" w14:textId="26F48313" w:rsidR="00CD2C85" w:rsidRDefault="00CD2C85" w:rsidP="00CD2C85">
      <w:pPr>
        <w:shd w:val="clear" w:color="auto" w:fill="FFFFFF"/>
        <w:spacing w:after="0" w:line="240" w:lineRule="auto"/>
        <w:jc w:val="both"/>
        <w:textAlignment w:val="baseline"/>
        <w:rPr>
          <w:rFonts w:ascii="Arial" w:eastAsia="Times New Roman" w:hAnsi="Arial" w:cs="Arial"/>
          <w:b/>
          <w:bCs/>
          <w:color w:val="000000"/>
          <w:sz w:val="24"/>
          <w:szCs w:val="24"/>
          <w:bdr w:val="none" w:sz="0" w:space="0" w:color="auto" w:frame="1"/>
          <w:lang w:eastAsia="es-MX"/>
        </w:rPr>
      </w:pPr>
      <w:r w:rsidRPr="00CD2C85">
        <w:rPr>
          <w:rFonts w:ascii="Arial" w:eastAsia="Times New Roman" w:hAnsi="Arial" w:cs="Arial"/>
          <w:b/>
          <w:bCs/>
          <w:color w:val="000000"/>
          <w:sz w:val="24"/>
          <w:szCs w:val="24"/>
          <w:bdr w:val="none" w:sz="0" w:space="0" w:color="auto" w:frame="1"/>
          <w:lang w:eastAsia="es-MX"/>
        </w:rPr>
        <w:t>Descripción del problema público. </w:t>
      </w:r>
    </w:p>
    <w:p w14:paraId="0D55379D" w14:textId="77777777"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lang w:eastAsia="es-MX"/>
        </w:rPr>
      </w:pPr>
    </w:p>
    <w:p w14:paraId="3CA263B6" w14:textId="77777777"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CD2C85">
        <w:rPr>
          <w:rFonts w:ascii="Arial" w:eastAsia="Times New Roman" w:hAnsi="Arial" w:cs="Arial"/>
          <w:color w:val="000000"/>
          <w:sz w:val="24"/>
          <w:szCs w:val="24"/>
          <w:bdr w:val="none" w:sz="0" w:space="0" w:color="auto" w:frame="1"/>
          <w:lang w:eastAsia="es-MX"/>
        </w:rPr>
        <w:t>En los municipios que no pertenecen al Área Metropolitana de Guadalajara, la población enfrenta una</w:t>
      </w:r>
      <w:r w:rsidRPr="00CD2C85">
        <w:rPr>
          <w:rFonts w:ascii="Arial" w:eastAsia="Times New Roman" w:hAnsi="Arial" w:cs="Arial"/>
          <w:b/>
          <w:bCs/>
          <w:color w:val="000000"/>
          <w:sz w:val="24"/>
          <w:szCs w:val="24"/>
          <w:bdr w:val="none" w:sz="0" w:space="0" w:color="auto" w:frame="1"/>
          <w:lang w:eastAsia="es-MX"/>
        </w:rPr>
        <w:t> limitada participación en actividades culturales, </w:t>
      </w:r>
      <w:r w:rsidRPr="00CD2C85">
        <w:rPr>
          <w:rFonts w:ascii="Arial" w:eastAsia="Times New Roman" w:hAnsi="Arial" w:cs="Arial"/>
          <w:color w:val="000000"/>
          <w:sz w:val="24"/>
          <w:szCs w:val="24"/>
          <w:bdr w:val="none" w:sz="0" w:space="0" w:color="auto" w:frame="1"/>
          <w:lang w:eastAsia="es-MX"/>
        </w:rPr>
        <w:t>debido a una</w:t>
      </w:r>
      <w:r w:rsidRPr="00CD2C85">
        <w:rPr>
          <w:rFonts w:ascii="Arial" w:eastAsia="Times New Roman" w:hAnsi="Arial" w:cs="Arial"/>
          <w:b/>
          <w:bCs/>
          <w:color w:val="000000"/>
          <w:sz w:val="24"/>
          <w:szCs w:val="24"/>
          <w:bdr w:val="none" w:sz="0" w:space="0" w:color="auto" w:frame="1"/>
          <w:lang w:eastAsia="es-MX"/>
        </w:rPr>
        <w:t> escasa oferta cultural gratuita y estructurada. </w:t>
      </w:r>
      <w:r w:rsidRPr="00CD2C85">
        <w:rPr>
          <w:rFonts w:ascii="Arial" w:eastAsia="Times New Roman" w:hAnsi="Arial" w:cs="Arial"/>
          <w:color w:val="000000"/>
          <w:sz w:val="24"/>
          <w:szCs w:val="24"/>
          <w:bdr w:val="none" w:sz="0" w:space="0" w:color="auto" w:frame="1"/>
          <w:lang w:eastAsia="es-MX"/>
        </w:rPr>
        <w:t>Este problema central se manifiesta en una baja disponibilidad de espacios formativos y de acceso al arte, especialmente en municipios con menor densidad de población.</w:t>
      </w:r>
    </w:p>
    <w:p w14:paraId="452BBD74" w14:textId="77777777"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s-MX"/>
        </w:rPr>
      </w:pPr>
    </w:p>
    <w:p w14:paraId="3CD80F17" w14:textId="765C1202"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CD2C85">
        <w:rPr>
          <w:rFonts w:ascii="Arial" w:eastAsia="Times New Roman" w:hAnsi="Arial" w:cs="Arial"/>
          <w:color w:val="000000"/>
          <w:sz w:val="24"/>
          <w:szCs w:val="24"/>
          <w:bdr w:val="none" w:sz="0" w:space="0" w:color="auto" w:frame="1"/>
          <w:lang w:eastAsia="es-MX"/>
        </w:rPr>
        <w:t>Esta situación se debe, en gran medida,</w:t>
      </w:r>
      <w:r w:rsidRPr="00CD2C85">
        <w:rPr>
          <w:rFonts w:ascii="Arial" w:eastAsia="Times New Roman" w:hAnsi="Arial" w:cs="Arial"/>
          <w:b/>
          <w:bCs/>
          <w:color w:val="000000"/>
          <w:sz w:val="24"/>
          <w:szCs w:val="24"/>
          <w:bdr w:val="none" w:sz="0" w:space="0" w:color="auto" w:frame="1"/>
          <w:lang w:eastAsia="es-MX"/>
        </w:rPr>
        <w:t> </w:t>
      </w:r>
      <w:r w:rsidRPr="00CD2C85">
        <w:rPr>
          <w:rFonts w:ascii="Arial" w:eastAsia="Times New Roman" w:hAnsi="Arial" w:cs="Arial"/>
          <w:color w:val="000000"/>
          <w:sz w:val="24"/>
          <w:szCs w:val="24"/>
          <w:bdr w:val="none" w:sz="0" w:space="0" w:color="auto" w:frame="1"/>
          <w:lang w:eastAsia="es-MX"/>
        </w:rPr>
        <w:t>a</w:t>
      </w:r>
      <w:r w:rsidRPr="00CD2C85">
        <w:rPr>
          <w:rFonts w:ascii="Arial" w:eastAsia="Times New Roman" w:hAnsi="Arial" w:cs="Arial"/>
          <w:b/>
          <w:bCs/>
          <w:color w:val="000000"/>
          <w:sz w:val="24"/>
          <w:szCs w:val="24"/>
          <w:bdr w:val="none" w:sz="0" w:space="0" w:color="auto" w:frame="1"/>
          <w:lang w:eastAsia="es-MX"/>
        </w:rPr>
        <w:t> restricciones estructurales en la gestión cultural a nivel municipal. </w:t>
      </w:r>
      <w:r w:rsidRPr="00CD2C85">
        <w:rPr>
          <w:rFonts w:ascii="Arial" w:eastAsia="Times New Roman" w:hAnsi="Arial" w:cs="Arial"/>
          <w:color w:val="000000"/>
          <w:sz w:val="24"/>
          <w:szCs w:val="24"/>
          <w:bdr w:val="none" w:sz="0" w:space="0" w:color="auto" w:frame="1"/>
          <w:lang w:eastAsia="es-MX"/>
        </w:rPr>
        <w:t>Por un lado, la oferta cultural está condicionada casi exclusivamente de las Direcciones de Cultura municipales que operan con </w:t>
      </w:r>
      <w:r w:rsidRPr="00CD2C85">
        <w:rPr>
          <w:rFonts w:ascii="Arial" w:eastAsia="Times New Roman" w:hAnsi="Arial" w:cs="Arial"/>
          <w:b/>
          <w:bCs/>
          <w:color w:val="000000"/>
          <w:sz w:val="24"/>
          <w:szCs w:val="24"/>
          <w:bdr w:val="none" w:sz="0" w:space="0" w:color="auto" w:frame="1"/>
          <w:lang w:eastAsia="es-MX"/>
        </w:rPr>
        <w:t>capacidades institucionales limitadas </w:t>
      </w:r>
      <w:r w:rsidRPr="00CD2C85">
        <w:rPr>
          <w:rFonts w:ascii="Arial" w:eastAsia="Times New Roman" w:hAnsi="Arial" w:cs="Arial"/>
          <w:color w:val="000000"/>
          <w:sz w:val="24"/>
          <w:szCs w:val="24"/>
          <w:bdr w:val="none" w:sz="0" w:space="0" w:color="auto" w:frame="1"/>
          <w:lang w:eastAsia="es-MX"/>
        </w:rPr>
        <w:t>y, en muchas ocasiones, no cuentan con procesos sistemáticos de programación. Por otro lado, la falta de presupuestos fijos</w:t>
      </w:r>
      <w:r w:rsidRPr="00CD2C85">
        <w:rPr>
          <w:rFonts w:ascii="Arial" w:eastAsia="Times New Roman" w:hAnsi="Arial" w:cs="Arial"/>
          <w:b/>
          <w:bCs/>
          <w:color w:val="000000"/>
          <w:sz w:val="24"/>
          <w:szCs w:val="24"/>
          <w:bdr w:val="none" w:sz="0" w:space="0" w:color="auto" w:frame="1"/>
          <w:lang w:eastAsia="es-MX"/>
        </w:rPr>
        <w:t> y adecuados asignados al sector cultural, </w:t>
      </w:r>
      <w:r w:rsidRPr="00CD2C85">
        <w:rPr>
          <w:rFonts w:ascii="Arial" w:eastAsia="Times New Roman" w:hAnsi="Arial" w:cs="Arial"/>
          <w:color w:val="000000"/>
          <w:sz w:val="24"/>
          <w:szCs w:val="24"/>
          <w:bdr w:val="none" w:sz="0" w:space="0" w:color="auto" w:frame="1"/>
          <w:lang w:eastAsia="es-MX"/>
        </w:rPr>
        <w:t>lo que limita la continuidad de las actividades y dificulta la contratación de docentes y talleristas. Además, la</w:t>
      </w:r>
      <w:r w:rsidRPr="00CD2C85">
        <w:rPr>
          <w:rFonts w:ascii="Arial" w:eastAsia="Times New Roman" w:hAnsi="Arial" w:cs="Arial"/>
          <w:b/>
          <w:bCs/>
          <w:color w:val="000000"/>
          <w:sz w:val="24"/>
          <w:szCs w:val="24"/>
          <w:bdr w:val="none" w:sz="0" w:space="0" w:color="auto" w:frame="1"/>
          <w:lang w:eastAsia="es-MX"/>
        </w:rPr>
        <w:t> concentración de recursos e infraestructura en el Área Metropolitana de Guadalajara</w:t>
      </w:r>
      <w:r w:rsidRPr="00CD2C85">
        <w:rPr>
          <w:rFonts w:ascii="Arial" w:eastAsia="Times New Roman" w:hAnsi="Arial" w:cs="Arial"/>
          <w:color w:val="000000"/>
          <w:sz w:val="24"/>
          <w:szCs w:val="24"/>
          <w:bdr w:val="none" w:sz="0" w:space="0" w:color="auto" w:frame="1"/>
          <w:lang w:eastAsia="es-MX"/>
        </w:rPr>
        <w:t>, disminuye las posibilidades de desarrollo cultural en los municipios del interior del estado</w:t>
      </w:r>
      <w:r w:rsidRPr="00CD2C85">
        <w:rPr>
          <w:rFonts w:ascii="Arial" w:eastAsia="Times New Roman" w:hAnsi="Arial" w:cs="Arial"/>
          <w:b/>
          <w:bCs/>
          <w:color w:val="000000"/>
          <w:sz w:val="24"/>
          <w:szCs w:val="24"/>
          <w:bdr w:val="none" w:sz="0" w:space="0" w:color="auto" w:frame="1"/>
          <w:lang w:eastAsia="es-MX"/>
        </w:rPr>
        <w:t>.</w:t>
      </w:r>
    </w:p>
    <w:p w14:paraId="535B05B7" w14:textId="3A0FE62E"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CD2C85">
        <w:rPr>
          <w:rFonts w:ascii="Arial" w:eastAsia="Times New Roman" w:hAnsi="Arial" w:cs="Arial"/>
          <w:b/>
          <w:bCs/>
          <w:color w:val="000000"/>
          <w:sz w:val="24"/>
          <w:szCs w:val="24"/>
          <w:bdr w:val="none" w:sz="0" w:space="0" w:color="auto" w:frame="1"/>
          <w:lang w:eastAsia="es-MX"/>
        </w:rPr>
        <w:br/>
      </w:r>
      <w:r w:rsidRPr="00CD2C85">
        <w:rPr>
          <w:rFonts w:ascii="Arial" w:eastAsia="Times New Roman" w:hAnsi="Arial" w:cs="Arial"/>
          <w:color w:val="000000"/>
          <w:sz w:val="24"/>
          <w:szCs w:val="24"/>
          <w:bdr w:val="none" w:sz="0" w:space="0" w:color="auto" w:frame="1"/>
          <w:lang w:eastAsia="es-MX"/>
        </w:rPr>
        <w:t>Estas condiciones, generan un entorno en el que la oferta cultural es</w:t>
      </w:r>
      <w:r w:rsidRPr="00CD2C85">
        <w:rPr>
          <w:rFonts w:ascii="Arial" w:eastAsia="Times New Roman" w:hAnsi="Arial" w:cs="Arial"/>
          <w:b/>
          <w:bCs/>
          <w:color w:val="000000"/>
          <w:sz w:val="24"/>
          <w:szCs w:val="24"/>
          <w:bdr w:val="none" w:sz="0" w:space="0" w:color="auto" w:frame="1"/>
          <w:lang w:eastAsia="es-MX"/>
        </w:rPr>
        <w:t> intermitente, insuficiente y poco diversificada</w:t>
      </w:r>
      <w:r w:rsidRPr="00CD2C85">
        <w:rPr>
          <w:rFonts w:ascii="Arial" w:eastAsia="Times New Roman" w:hAnsi="Arial" w:cs="Arial"/>
          <w:color w:val="000000"/>
          <w:sz w:val="24"/>
          <w:szCs w:val="24"/>
          <w:bdr w:val="none" w:sz="0" w:space="0" w:color="auto" w:frame="1"/>
          <w:lang w:eastAsia="es-MX"/>
        </w:rPr>
        <w:t>, lo que impacta directamente en el ejercicio de los derechos culturales de la población. En este contexto, se observa, en primer lugar, una</w:t>
      </w:r>
      <w:r w:rsidRPr="00CD2C85">
        <w:rPr>
          <w:rFonts w:ascii="Arial" w:eastAsia="Times New Roman" w:hAnsi="Arial" w:cs="Arial"/>
          <w:b/>
          <w:bCs/>
          <w:color w:val="000000"/>
          <w:sz w:val="24"/>
          <w:szCs w:val="24"/>
          <w:bdr w:val="none" w:sz="0" w:space="0" w:color="auto" w:frame="1"/>
          <w:lang w:eastAsia="es-MX"/>
        </w:rPr>
        <w:t> falta de opciones para la formación cultural y artística, </w:t>
      </w:r>
      <w:r w:rsidRPr="00CD2C85">
        <w:rPr>
          <w:rFonts w:ascii="Arial" w:eastAsia="Times New Roman" w:hAnsi="Arial" w:cs="Arial"/>
          <w:color w:val="000000"/>
          <w:sz w:val="24"/>
          <w:szCs w:val="24"/>
          <w:bdr w:val="none" w:sz="0" w:space="0" w:color="auto" w:frame="1"/>
          <w:lang w:eastAsia="es-MX"/>
        </w:rPr>
        <w:t>lo que impide el desarrollo de habilidades creativas en niños, jóvenes y adultos, y limita la construcción de trayectorias en el ámbito cultural</w:t>
      </w:r>
      <w:r w:rsidRPr="00CD2C85">
        <w:rPr>
          <w:rFonts w:ascii="Arial" w:eastAsia="Times New Roman" w:hAnsi="Arial" w:cs="Arial"/>
          <w:b/>
          <w:bCs/>
          <w:color w:val="000000"/>
          <w:sz w:val="24"/>
          <w:szCs w:val="24"/>
          <w:bdr w:val="none" w:sz="0" w:space="0" w:color="auto" w:frame="1"/>
          <w:lang w:eastAsia="es-MX"/>
        </w:rPr>
        <w:t>.</w:t>
      </w:r>
    </w:p>
    <w:p w14:paraId="572349F9" w14:textId="0EFE40CA"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CD2C85">
        <w:rPr>
          <w:rFonts w:ascii="Arial" w:eastAsia="Times New Roman" w:hAnsi="Arial" w:cs="Arial"/>
          <w:b/>
          <w:bCs/>
          <w:color w:val="000000"/>
          <w:sz w:val="24"/>
          <w:szCs w:val="24"/>
          <w:bdr w:val="none" w:sz="0" w:space="0" w:color="auto" w:frame="1"/>
          <w:lang w:eastAsia="es-MX"/>
        </w:rPr>
        <w:br/>
      </w:r>
      <w:r w:rsidRPr="00CD2C85">
        <w:rPr>
          <w:rFonts w:ascii="Arial" w:eastAsia="Times New Roman" w:hAnsi="Arial" w:cs="Arial"/>
          <w:color w:val="000000"/>
          <w:sz w:val="24"/>
          <w:szCs w:val="24"/>
          <w:bdr w:val="none" w:sz="0" w:space="0" w:color="auto" w:frame="1"/>
          <w:lang w:eastAsia="es-MX"/>
        </w:rPr>
        <w:t>De manera simultánea, esta situación profundiza la disparidad</w:t>
      </w:r>
      <w:r w:rsidRPr="00CD2C85">
        <w:rPr>
          <w:rFonts w:ascii="Arial" w:eastAsia="Times New Roman" w:hAnsi="Arial" w:cs="Arial"/>
          <w:b/>
          <w:bCs/>
          <w:color w:val="000000"/>
          <w:sz w:val="24"/>
          <w:szCs w:val="24"/>
          <w:bdr w:val="none" w:sz="0" w:space="0" w:color="auto" w:frame="1"/>
          <w:lang w:eastAsia="es-MX"/>
        </w:rPr>
        <w:t> territorial en el acceso a bienes y servicios culturales, </w:t>
      </w:r>
      <w:r w:rsidRPr="00CD2C85">
        <w:rPr>
          <w:rFonts w:ascii="Arial" w:eastAsia="Times New Roman" w:hAnsi="Arial" w:cs="Arial"/>
          <w:color w:val="000000"/>
          <w:sz w:val="24"/>
          <w:szCs w:val="24"/>
          <w:bdr w:val="none" w:sz="0" w:space="0" w:color="auto" w:frame="1"/>
          <w:lang w:eastAsia="es-MX"/>
        </w:rPr>
        <w:t>dado que</w:t>
      </w:r>
      <w:r w:rsidRPr="00CD2C85">
        <w:rPr>
          <w:rFonts w:ascii="Arial" w:eastAsia="Times New Roman" w:hAnsi="Arial" w:cs="Arial"/>
          <w:b/>
          <w:bCs/>
          <w:color w:val="000000"/>
          <w:sz w:val="24"/>
          <w:szCs w:val="24"/>
          <w:bdr w:val="none" w:sz="0" w:space="0" w:color="auto" w:frame="1"/>
          <w:lang w:eastAsia="es-MX"/>
        </w:rPr>
        <w:t> </w:t>
      </w:r>
      <w:r w:rsidRPr="00CD2C85">
        <w:rPr>
          <w:rFonts w:ascii="Arial" w:eastAsia="Times New Roman" w:hAnsi="Arial" w:cs="Arial"/>
          <w:color w:val="000000"/>
          <w:sz w:val="24"/>
          <w:szCs w:val="24"/>
          <w:bdr w:val="none" w:sz="0" w:space="0" w:color="auto" w:frame="1"/>
          <w:lang w:eastAsia="es-MX"/>
        </w:rPr>
        <w:t>mientras en el Área Metropolitana de Guadalajara existe una oferta amplia y constante; en los municipios más pequeños las oportunidades son escasas o esporádicas. Esta disparidad establece una brecha estructural en el ejercicio del derecho a la cultura.</w:t>
      </w:r>
    </w:p>
    <w:p w14:paraId="5D5A85F4" w14:textId="4B084333"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CD2C85">
        <w:rPr>
          <w:rFonts w:ascii="Arial" w:eastAsia="Times New Roman" w:hAnsi="Arial" w:cs="Arial"/>
          <w:color w:val="000000"/>
          <w:sz w:val="24"/>
          <w:szCs w:val="24"/>
          <w:bdr w:val="none" w:sz="0" w:space="0" w:color="auto" w:frame="1"/>
          <w:lang w:eastAsia="es-MX"/>
        </w:rPr>
        <w:br/>
        <w:t>Finalmente, la persistencia de estas condiciones contribuye a la</w:t>
      </w:r>
      <w:r w:rsidRPr="00CD2C85">
        <w:rPr>
          <w:rFonts w:ascii="Arial" w:eastAsia="Times New Roman" w:hAnsi="Arial" w:cs="Arial"/>
          <w:b/>
          <w:bCs/>
          <w:color w:val="000000"/>
          <w:sz w:val="24"/>
          <w:szCs w:val="24"/>
          <w:bdr w:val="none" w:sz="0" w:space="0" w:color="auto" w:frame="1"/>
          <w:lang w:eastAsia="es-MX"/>
        </w:rPr>
        <w:t> ampliación de la brecha en el desarrollo cultural y artístico, </w:t>
      </w:r>
      <w:r w:rsidRPr="00CD2C85">
        <w:rPr>
          <w:rFonts w:ascii="Arial" w:eastAsia="Times New Roman" w:hAnsi="Arial" w:cs="Arial"/>
          <w:color w:val="000000"/>
          <w:sz w:val="24"/>
          <w:szCs w:val="24"/>
          <w:bdr w:val="none" w:sz="0" w:space="0" w:color="auto" w:frame="1"/>
          <w:lang w:eastAsia="es-MX"/>
        </w:rPr>
        <w:t>generando</w:t>
      </w:r>
      <w:r w:rsidRPr="00CD2C85">
        <w:rPr>
          <w:rFonts w:ascii="Arial" w:eastAsia="Times New Roman" w:hAnsi="Arial" w:cs="Arial"/>
          <w:b/>
          <w:bCs/>
          <w:color w:val="000000"/>
          <w:sz w:val="24"/>
          <w:szCs w:val="24"/>
          <w:bdr w:val="none" w:sz="0" w:space="0" w:color="auto" w:frame="1"/>
          <w:lang w:eastAsia="es-MX"/>
        </w:rPr>
        <w:t> </w:t>
      </w:r>
      <w:r w:rsidRPr="00CD2C85">
        <w:rPr>
          <w:rFonts w:ascii="Arial" w:eastAsia="Times New Roman" w:hAnsi="Arial" w:cs="Arial"/>
          <w:color w:val="000000"/>
          <w:sz w:val="24"/>
          <w:szCs w:val="24"/>
          <w:bdr w:val="none" w:sz="0" w:space="0" w:color="auto" w:frame="1"/>
          <w:lang w:eastAsia="es-MX"/>
        </w:rPr>
        <w:t>un ciclo de exclusión que tiene un impacto negativo en la viabilidad de los proyectos culturales locales, limita la profesionalización de agentes culturales y debilita la formación de públicos, reduciendo las posibilidades de</w:t>
      </w:r>
      <w:r w:rsidRPr="00CD2C85">
        <w:rPr>
          <w:rFonts w:ascii="Arial" w:eastAsia="Times New Roman" w:hAnsi="Arial" w:cs="Arial"/>
          <w:b/>
          <w:bCs/>
          <w:color w:val="000000"/>
          <w:sz w:val="24"/>
          <w:szCs w:val="24"/>
          <w:bdr w:val="none" w:sz="0" w:space="0" w:color="auto" w:frame="1"/>
          <w:lang w:eastAsia="es-MX"/>
        </w:rPr>
        <w:t> </w:t>
      </w:r>
      <w:r w:rsidRPr="00CD2C85">
        <w:rPr>
          <w:rFonts w:ascii="Arial" w:eastAsia="Times New Roman" w:hAnsi="Arial" w:cs="Arial"/>
          <w:color w:val="000000"/>
          <w:sz w:val="24"/>
          <w:szCs w:val="24"/>
          <w:bdr w:val="none" w:sz="0" w:space="0" w:color="auto" w:frame="1"/>
          <w:lang w:eastAsia="es-MX"/>
        </w:rPr>
        <w:t>consolidar ecosistemas culturales dinámicos en el territorio.</w:t>
      </w:r>
    </w:p>
    <w:p w14:paraId="7B5CB284" w14:textId="77777777"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s-MX"/>
        </w:rPr>
      </w:pPr>
    </w:p>
    <w:p w14:paraId="74D1BD93" w14:textId="1706CFC0"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CD2C85">
        <w:rPr>
          <w:rFonts w:ascii="Arial" w:eastAsia="Times New Roman" w:hAnsi="Arial" w:cs="Arial"/>
          <w:color w:val="000000"/>
          <w:sz w:val="24"/>
          <w:szCs w:val="24"/>
          <w:bdr w:val="none" w:sz="0" w:space="0" w:color="auto" w:frame="1"/>
          <w:lang w:eastAsia="es-MX"/>
        </w:rPr>
        <w:t>En este contexto, el </w:t>
      </w:r>
      <w:r w:rsidRPr="00CD2C85">
        <w:rPr>
          <w:rFonts w:ascii="Arial" w:eastAsia="Times New Roman" w:hAnsi="Arial" w:cs="Arial"/>
          <w:b/>
          <w:bCs/>
          <w:color w:val="000000"/>
          <w:sz w:val="24"/>
          <w:szCs w:val="24"/>
          <w:bdr w:val="none" w:sz="0" w:space="0" w:color="auto" w:frame="1"/>
          <w:lang w:eastAsia="es-MX"/>
        </w:rPr>
        <w:t>Programa Fondo Talleres en Casas de la Cultura</w:t>
      </w:r>
      <w:r w:rsidRPr="00CD2C85">
        <w:rPr>
          <w:rFonts w:ascii="Arial" w:eastAsia="Times New Roman" w:hAnsi="Arial" w:cs="Arial"/>
          <w:color w:val="000000"/>
          <w:sz w:val="24"/>
          <w:szCs w:val="24"/>
          <w:bdr w:val="none" w:sz="0" w:space="0" w:color="auto" w:frame="1"/>
          <w:lang w:eastAsia="es-MX"/>
        </w:rPr>
        <w:t> se plantea como una intervención pública orientada a </w:t>
      </w:r>
      <w:r w:rsidRPr="00CD2C85">
        <w:rPr>
          <w:rFonts w:ascii="Arial" w:eastAsia="Times New Roman" w:hAnsi="Arial" w:cs="Arial"/>
          <w:b/>
          <w:bCs/>
          <w:color w:val="000000"/>
          <w:sz w:val="24"/>
          <w:szCs w:val="24"/>
          <w:bdr w:val="none" w:sz="0" w:space="0" w:color="auto" w:frame="1"/>
          <w:lang w:eastAsia="es-MX"/>
        </w:rPr>
        <w:t>atender las causas fundamentales del problema</w:t>
      </w:r>
      <w:r w:rsidRPr="00CD2C85">
        <w:rPr>
          <w:rFonts w:ascii="Arial" w:eastAsia="Times New Roman" w:hAnsi="Arial" w:cs="Arial"/>
          <w:color w:val="000000"/>
          <w:sz w:val="24"/>
          <w:szCs w:val="24"/>
          <w:bdr w:val="none" w:sz="0" w:space="0" w:color="auto" w:frame="1"/>
          <w:lang w:eastAsia="es-MX"/>
        </w:rPr>
        <w:t>, mediante el otorgamiento de</w:t>
      </w:r>
      <w:r w:rsidRPr="00CD2C85">
        <w:rPr>
          <w:rFonts w:ascii="Arial" w:eastAsia="Times New Roman" w:hAnsi="Arial" w:cs="Arial"/>
          <w:b/>
          <w:bCs/>
          <w:color w:val="000000"/>
          <w:sz w:val="24"/>
          <w:szCs w:val="24"/>
          <w:bdr w:val="none" w:sz="0" w:space="0" w:color="auto" w:frame="1"/>
          <w:lang w:eastAsia="es-MX"/>
        </w:rPr>
        <w:t> </w:t>
      </w:r>
      <w:r w:rsidRPr="00CD2C85">
        <w:rPr>
          <w:rFonts w:ascii="Arial" w:eastAsia="Times New Roman" w:hAnsi="Arial" w:cs="Arial"/>
          <w:color w:val="000000"/>
          <w:sz w:val="24"/>
          <w:szCs w:val="24"/>
          <w:bdr w:val="none" w:sz="0" w:space="0" w:color="auto" w:frame="1"/>
          <w:lang w:eastAsia="es-MX"/>
        </w:rPr>
        <w:t xml:space="preserve">apoyos a municipios para el pago de honorarios a docentes y talleristas que ofrezcan talleres culturales gratuitos en los municipios con menos de 600 mil habitantes. A través de esta estrategia, se busca fortalecer la oferta cultural local, ampliar las oportunidades de </w:t>
      </w:r>
      <w:r w:rsidRPr="00CD2C85">
        <w:rPr>
          <w:rFonts w:ascii="Arial" w:eastAsia="Times New Roman" w:hAnsi="Arial" w:cs="Arial"/>
          <w:color w:val="000000"/>
          <w:sz w:val="24"/>
          <w:szCs w:val="24"/>
          <w:bdr w:val="none" w:sz="0" w:space="0" w:color="auto" w:frame="1"/>
          <w:lang w:eastAsia="es-MX"/>
        </w:rPr>
        <w:lastRenderedPageBreak/>
        <w:t>formación artística y contribuir a la</w:t>
      </w:r>
      <w:r w:rsidRPr="00CD2C85">
        <w:rPr>
          <w:rFonts w:ascii="Arial" w:eastAsia="Times New Roman" w:hAnsi="Arial" w:cs="Arial"/>
          <w:b/>
          <w:bCs/>
          <w:color w:val="000000"/>
          <w:sz w:val="24"/>
          <w:szCs w:val="24"/>
          <w:bdr w:val="none" w:sz="0" w:space="0" w:color="auto" w:frame="1"/>
          <w:lang w:eastAsia="es-MX"/>
        </w:rPr>
        <w:t> descentralización cultural y a la reducción de brechas territoriales en el acceso a la cultura en el estado de Jalisco.</w:t>
      </w:r>
      <w:r w:rsidRPr="00CD2C85">
        <w:rPr>
          <w:rFonts w:ascii="Arial" w:eastAsia="Times New Roman" w:hAnsi="Arial" w:cs="Arial"/>
          <w:color w:val="000000"/>
          <w:sz w:val="24"/>
          <w:szCs w:val="24"/>
          <w:bdr w:val="none" w:sz="0" w:space="0" w:color="auto" w:frame="1"/>
          <w:lang w:eastAsia="es-MX"/>
        </w:rPr>
        <w:t> </w:t>
      </w:r>
    </w:p>
    <w:p w14:paraId="6D1F5760" w14:textId="77777777" w:rsidR="00CD2C85" w:rsidRPr="00CD2C85" w:rsidRDefault="00CD2C85" w:rsidP="00CD2C85">
      <w:pPr>
        <w:shd w:val="clear" w:color="auto" w:fill="FFFFFF"/>
        <w:spacing w:after="0" w:line="240" w:lineRule="auto"/>
        <w:jc w:val="both"/>
        <w:textAlignment w:val="baseline"/>
        <w:rPr>
          <w:rFonts w:ascii="Arial" w:eastAsia="Times New Roman" w:hAnsi="Arial" w:cs="Arial"/>
          <w:b/>
          <w:bCs/>
          <w:color w:val="000000"/>
          <w:sz w:val="24"/>
          <w:szCs w:val="24"/>
          <w:bdr w:val="none" w:sz="0" w:space="0" w:color="auto" w:frame="1"/>
          <w:lang w:eastAsia="es-MX"/>
        </w:rPr>
      </w:pPr>
    </w:p>
    <w:p w14:paraId="2D62ABBC" w14:textId="028E8968"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CD2C85">
        <w:rPr>
          <w:rFonts w:ascii="Arial" w:eastAsia="Times New Roman" w:hAnsi="Arial" w:cs="Arial"/>
          <w:b/>
          <w:bCs/>
          <w:color w:val="000000"/>
          <w:sz w:val="24"/>
          <w:szCs w:val="24"/>
          <w:bdr w:val="none" w:sz="0" w:space="0" w:color="auto" w:frame="1"/>
          <w:lang w:eastAsia="es-MX"/>
        </w:rPr>
        <w:t>Magnitud del problema</w:t>
      </w:r>
    </w:p>
    <w:p w14:paraId="1CB49AF8" w14:textId="77777777"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s-MX"/>
        </w:rPr>
      </w:pPr>
    </w:p>
    <w:p w14:paraId="3D632489" w14:textId="313A17ED"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CD2C85">
        <w:rPr>
          <w:rFonts w:ascii="Arial" w:eastAsia="Times New Roman" w:hAnsi="Arial" w:cs="Arial"/>
          <w:color w:val="000000"/>
          <w:sz w:val="24"/>
          <w:szCs w:val="24"/>
          <w:bdr w:val="none" w:sz="0" w:space="0" w:color="auto" w:frame="1"/>
          <w:lang w:eastAsia="es-MX"/>
        </w:rPr>
        <w:t>Con base en el comportamiento del Programa Fondo Talleres en Casas de la Cultura del 2025 se observa que los 14 municipios con menor índice de talleres aplicados arrojan un total de 785 alumnos y alumnas beneficiados, mientras que los 11 municipios con mayor número de talleres aplicados arrojan un total de 2368 alumnas y alumnos beneficiados. Los municipios con menor oferta de talleres presentan una cobertura considerablemente más limitada, evidenciando posibles brechas en el acceso a las actividades culturales. Este escenario sugiere la necesidad de fortalecer la distribución territorial del programa, a fin de promover una mayor equidad en el acceso y ampliar el alcance de los beneficios en aquellas localidades con menor presencia de talleres.</w:t>
      </w:r>
    </w:p>
    <w:p w14:paraId="2CBFF558" w14:textId="77777777"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s-MX"/>
        </w:rPr>
      </w:pPr>
    </w:p>
    <w:p w14:paraId="1F7D826C" w14:textId="57A9EB97"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CD2C85">
        <w:rPr>
          <w:rFonts w:ascii="Arial" w:eastAsia="Times New Roman" w:hAnsi="Arial" w:cs="Arial"/>
          <w:color w:val="000000"/>
          <w:sz w:val="24"/>
          <w:szCs w:val="24"/>
          <w:bdr w:val="none" w:sz="0" w:space="0" w:color="auto" w:frame="1"/>
          <w:lang w:eastAsia="es-MX"/>
        </w:rPr>
        <w:t>Datos del Instituto Nacional de Estadística y Geografía (INEGI) presenta los resultados del Módulo sobre Eventos Culturales Seleccionados (MODECULT), 2023, mencionando que en los últimos 12 meses, casi la mitad (48.7%) de la población del Estado de Jalisco, mayor de 18 años, declaró que asistió, al menos una vez, a una obra de teatro, un concierto o presentación de música en vivo, un espectáculo de danza, una exposición (pintura, fotografía, científica o histórica), o a una proyección de películas o cine, por lo que el 51.3% restante, no participó en actividades culturales o artísticas en su localidad o ciudad.</w:t>
      </w:r>
    </w:p>
    <w:p w14:paraId="757B8549" w14:textId="77777777"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s-MX"/>
        </w:rPr>
      </w:pPr>
    </w:p>
    <w:p w14:paraId="2D013D3B" w14:textId="5B34039D"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CD2C85">
        <w:rPr>
          <w:rFonts w:ascii="Arial" w:eastAsia="Times New Roman" w:hAnsi="Arial" w:cs="Arial"/>
          <w:color w:val="000000"/>
          <w:sz w:val="24"/>
          <w:szCs w:val="24"/>
          <w:bdr w:val="none" w:sz="0" w:space="0" w:color="auto" w:frame="1"/>
          <w:lang w:eastAsia="es-MX"/>
        </w:rPr>
        <w:t>Uno de los factores que acentúan esta problemática es la concentración de la oferta cultural en el Área Metropolitana de Guadalajara (AMG), lo que refuerza la necesidad de fortalecer la infraestructura y la gestión cultural en los municipios del interior del Estado. A pesar de que en los últimos años se ha registrado un incremento en la inversión cultural municipal, aún es necesario consolidar mecanismos que garanticen una programación sistemática de actividades, la formación de gestores culturales y la descentralización de los recursos destinados al sector.</w:t>
      </w:r>
    </w:p>
    <w:p w14:paraId="26A21641" w14:textId="77777777"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s-MX"/>
        </w:rPr>
      </w:pPr>
    </w:p>
    <w:p w14:paraId="2396CBAA" w14:textId="1EB526E6"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CD2C85">
        <w:rPr>
          <w:rFonts w:ascii="Arial" w:eastAsia="Times New Roman" w:hAnsi="Arial" w:cs="Arial"/>
          <w:color w:val="000000"/>
          <w:sz w:val="24"/>
          <w:szCs w:val="24"/>
          <w:bdr w:val="none" w:sz="0" w:space="0" w:color="auto" w:frame="1"/>
          <w:lang w:eastAsia="es-MX"/>
        </w:rPr>
        <w:t>El” Programa Fondo Talleres en Casas de la Cultura” representa una estrategia clave para revertir estos efectos, promoviendo el acceso equitativo al arte y la cultura en todo el Estado de Jalisco y contribuyendo a la reducción de las desigualdades en el ejercicio de los derechos culturales. En 2025, el programa benefició de manera directa a 98 municipios y tuvo 12,319 personas beneficiadas de manera indirecta brindando 547 talleres artísticos y culturales en las Casas de la Cultura y espacios municipales.</w:t>
      </w:r>
    </w:p>
    <w:p w14:paraId="4EBF9644" w14:textId="77777777" w:rsidR="00CD2C85" w:rsidRPr="00CD2C85" w:rsidRDefault="00CD2C85" w:rsidP="00CD2C85">
      <w:pPr>
        <w:shd w:val="clear" w:color="auto" w:fill="FFFFFF"/>
        <w:spacing w:after="0" w:line="240" w:lineRule="auto"/>
        <w:jc w:val="both"/>
        <w:textAlignment w:val="baseline"/>
        <w:rPr>
          <w:rFonts w:ascii="Arial" w:eastAsia="Times New Roman" w:hAnsi="Arial" w:cs="Arial"/>
          <w:b/>
          <w:bCs/>
          <w:color w:val="000000"/>
          <w:sz w:val="24"/>
          <w:szCs w:val="24"/>
          <w:bdr w:val="none" w:sz="0" w:space="0" w:color="auto" w:frame="1"/>
          <w:lang w:eastAsia="es-MX"/>
        </w:rPr>
      </w:pPr>
    </w:p>
    <w:p w14:paraId="6B0FFA51" w14:textId="2B6B4EED"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CD2C85">
        <w:rPr>
          <w:rFonts w:ascii="Arial" w:eastAsia="Times New Roman" w:hAnsi="Arial" w:cs="Arial"/>
          <w:b/>
          <w:bCs/>
          <w:color w:val="000000"/>
          <w:sz w:val="24"/>
          <w:szCs w:val="24"/>
          <w:bdr w:val="none" w:sz="0" w:space="0" w:color="auto" w:frame="1"/>
          <w:lang w:eastAsia="es-MX"/>
        </w:rPr>
        <w:t>Árbol de problemas</w:t>
      </w:r>
    </w:p>
    <w:p w14:paraId="5F02F327" w14:textId="77777777" w:rsidR="00CD2C85" w:rsidRPr="00CD2C85" w:rsidRDefault="00CD2C85" w:rsidP="00CD2C85">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CD2C85">
        <w:rPr>
          <w:rFonts w:ascii="Arial" w:eastAsia="Times New Roman" w:hAnsi="Arial" w:cs="Arial"/>
          <w:b/>
          <w:bCs/>
          <w:color w:val="000000"/>
          <w:sz w:val="24"/>
          <w:szCs w:val="24"/>
          <w:bdr w:val="none" w:sz="0" w:space="0" w:color="auto" w:frame="1"/>
          <w:lang w:eastAsia="es-MX"/>
        </w:rPr>
        <w:br/>
      </w:r>
    </w:p>
    <w:p w14:paraId="0F371795" w14:textId="767495AE" w:rsidR="00CD2C85" w:rsidRPr="00CD2C85" w:rsidRDefault="00CD2C85" w:rsidP="00CD2C85">
      <w:pPr>
        <w:shd w:val="clear" w:color="auto" w:fill="FFFFFF"/>
        <w:spacing w:after="0" w:line="240" w:lineRule="auto"/>
        <w:textAlignment w:val="baseline"/>
        <w:rPr>
          <w:rFonts w:ascii="Dosis" w:eastAsia="Times New Roman" w:hAnsi="Dosis" w:cs="Times New Roman"/>
          <w:color w:val="000000"/>
          <w:sz w:val="23"/>
          <w:szCs w:val="23"/>
          <w:lang w:eastAsia="es-MX"/>
        </w:rPr>
      </w:pPr>
      <w:r w:rsidRPr="00CD2C85">
        <w:rPr>
          <w:rFonts w:ascii="Arial" w:hAnsi="Arial" w:cs="Arial"/>
          <w:b/>
          <w:noProof/>
          <w:color w:val="ED7D31" w:themeColor="accent2"/>
          <w:sz w:val="10"/>
          <w:szCs w:val="10"/>
        </w:rPr>
        <w:lastRenderedPageBreak/>
        <w:drawing>
          <wp:inline distT="0" distB="0" distL="0" distR="0" wp14:anchorId="51D737D3" wp14:editId="0BFCA5E2">
            <wp:extent cx="6480810" cy="331724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0810" cy="3317240"/>
                    </a:xfrm>
                    <a:prstGeom prst="rect">
                      <a:avLst/>
                    </a:prstGeom>
                    <a:noFill/>
                    <a:ln>
                      <a:noFill/>
                    </a:ln>
                  </pic:spPr>
                </pic:pic>
              </a:graphicData>
            </a:graphic>
          </wp:inline>
        </w:drawing>
      </w:r>
    </w:p>
    <w:p w14:paraId="489E93BA" w14:textId="77777777" w:rsidR="001A41CE" w:rsidRPr="001A41CE" w:rsidRDefault="001A41CE" w:rsidP="003255DE">
      <w:pPr>
        <w:pStyle w:val="Encabezado"/>
        <w:spacing w:before="240" w:after="120" w:line="276" w:lineRule="auto"/>
        <w:jc w:val="both"/>
        <w:rPr>
          <w:rFonts w:ascii="Arial" w:hAnsi="Arial" w:cs="Arial"/>
          <w:b/>
          <w:color w:val="ED7D31" w:themeColor="accent2"/>
          <w:sz w:val="10"/>
          <w:szCs w:val="10"/>
        </w:rPr>
      </w:pPr>
    </w:p>
    <w:sectPr w:rsidR="001A41CE" w:rsidRPr="001A41CE" w:rsidSect="00043A0B">
      <w:headerReference w:type="default" r:id="rId9"/>
      <w:footerReference w:type="default" r:id="rId10"/>
      <w:pgSz w:w="12240" w:h="15840"/>
      <w:pgMar w:top="2127" w:right="1041" w:bottom="720" w:left="993" w:header="708"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45709" w14:textId="77777777" w:rsidR="00F02329" w:rsidRDefault="00F02329" w:rsidP="007B1FEB">
      <w:pPr>
        <w:spacing w:after="0" w:line="240" w:lineRule="auto"/>
      </w:pPr>
      <w:r>
        <w:separator/>
      </w:r>
    </w:p>
  </w:endnote>
  <w:endnote w:type="continuationSeparator" w:id="0">
    <w:p w14:paraId="3B95C401" w14:textId="77777777" w:rsidR="00F02329" w:rsidRDefault="00F02329" w:rsidP="007B1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osis">
    <w:altName w:val="Dosis"/>
    <w:charset w:val="00"/>
    <w:family w:val="auto"/>
    <w:pitch w:val="variable"/>
    <w:sig w:usb0="A00000BF" w:usb1="4000207B" w:usb2="00000000" w:usb3="00000000" w:csb0="00000093" w:csb1="00000000"/>
  </w:font>
  <w:font w:name="Nutmeg Book">
    <w:charset w:val="00"/>
    <w:family w:val="auto"/>
    <w:pitch w:val="variable"/>
    <w:sig w:usb0="00000007" w:usb1="00000001"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5"/>
      <w:gridCol w:w="3386"/>
      <w:gridCol w:w="3427"/>
    </w:tblGrid>
    <w:tr w:rsidR="00AE7691" w:rsidRPr="00777B35" w14:paraId="01289A19" w14:textId="77777777" w:rsidTr="00AE7691">
      <w:tc>
        <w:tcPr>
          <w:tcW w:w="3538" w:type="dxa"/>
        </w:tcPr>
        <w:p w14:paraId="5767B5C6" w14:textId="77777777" w:rsidR="00AE7691" w:rsidRPr="00777B35" w:rsidRDefault="00AE7691" w:rsidP="00777B35">
          <w:pPr>
            <w:pStyle w:val="Piedepgina"/>
            <w:rPr>
              <w:rFonts w:ascii="Century Gothic" w:hAnsi="Century Gothic"/>
              <w:b/>
              <w:sz w:val="16"/>
              <w:szCs w:val="16"/>
            </w:rPr>
          </w:pPr>
        </w:p>
      </w:tc>
      <w:tc>
        <w:tcPr>
          <w:tcW w:w="3647" w:type="dxa"/>
        </w:tcPr>
        <w:p w14:paraId="40B5627E" w14:textId="77777777" w:rsidR="00AE7691" w:rsidRPr="00777B35" w:rsidRDefault="00777B35" w:rsidP="00EA52D4">
          <w:pPr>
            <w:pStyle w:val="Piedepgina"/>
            <w:rPr>
              <w:rFonts w:ascii="Century Gothic" w:hAnsi="Century Gothic"/>
              <w:b/>
              <w:sz w:val="16"/>
              <w:szCs w:val="16"/>
            </w:rPr>
          </w:pPr>
          <w:r>
            <w:rPr>
              <w:rFonts w:ascii="Century Gothic" w:hAnsi="Century Gothic"/>
              <w:b/>
              <w:sz w:val="16"/>
              <w:szCs w:val="16"/>
            </w:rPr>
            <w:t xml:space="preserve">                              </w:t>
          </w:r>
        </w:p>
      </w:tc>
      <w:tc>
        <w:tcPr>
          <w:tcW w:w="3647" w:type="dxa"/>
        </w:tcPr>
        <w:sdt>
          <w:sdtPr>
            <w:rPr>
              <w:rFonts w:ascii="Century Gothic" w:hAnsi="Century Gothic" w:cs="Arial"/>
              <w:b/>
              <w:sz w:val="16"/>
              <w:szCs w:val="16"/>
            </w:rPr>
            <w:id w:val="676466578"/>
            <w:docPartObj>
              <w:docPartGallery w:val="Page Numbers (Bottom of Page)"/>
              <w:docPartUnique/>
            </w:docPartObj>
          </w:sdtPr>
          <w:sdtEndPr/>
          <w:sdtContent>
            <w:p w14:paraId="09905564" w14:textId="77777777" w:rsidR="00AE7691" w:rsidRPr="00777B35" w:rsidRDefault="00AE7691" w:rsidP="00822FF0">
              <w:pPr>
                <w:pStyle w:val="Piedepgina"/>
                <w:jc w:val="right"/>
                <w:rPr>
                  <w:rFonts w:ascii="Century Gothic" w:hAnsi="Century Gothic" w:cs="Arial"/>
                  <w:b/>
                  <w:sz w:val="16"/>
                  <w:szCs w:val="16"/>
                </w:rPr>
              </w:pPr>
              <w:r w:rsidRPr="00777B35">
                <w:rPr>
                  <w:rFonts w:ascii="Century Gothic" w:hAnsi="Century Gothic" w:cs="Arial"/>
                  <w:b/>
                  <w:sz w:val="16"/>
                  <w:szCs w:val="16"/>
                  <w:lang w:val="es-ES"/>
                </w:rPr>
                <w:t xml:space="preserve">Página </w:t>
              </w:r>
              <w:r w:rsidRPr="00777B35">
                <w:rPr>
                  <w:rFonts w:ascii="Century Gothic" w:hAnsi="Century Gothic" w:cs="Arial"/>
                  <w:b/>
                  <w:sz w:val="16"/>
                  <w:szCs w:val="16"/>
                </w:rPr>
                <w:fldChar w:fldCharType="begin"/>
              </w:r>
              <w:r w:rsidRPr="00777B35">
                <w:rPr>
                  <w:rFonts w:ascii="Century Gothic" w:hAnsi="Century Gothic" w:cs="Arial"/>
                  <w:b/>
                  <w:sz w:val="16"/>
                  <w:szCs w:val="16"/>
                </w:rPr>
                <w:instrText>PAGE  \* Arabic  \* MERGEFORMAT</w:instrText>
              </w:r>
              <w:r w:rsidRPr="00777B35">
                <w:rPr>
                  <w:rFonts w:ascii="Century Gothic" w:hAnsi="Century Gothic" w:cs="Arial"/>
                  <w:b/>
                  <w:sz w:val="16"/>
                  <w:szCs w:val="16"/>
                </w:rPr>
                <w:fldChar w:fldCharType="separate"/>
              </w:r>
              <w:r w:rsidR="00F138C8">
                <w:rPr>
                  <w:rFonts w:ascii="Century Gothic" w:hAnsi="Century Gothic" w:cs="Arial"/>
                  <w:b/>
                  <w:noProof/>
                  <w:sz w:val="16"/>
                  <w:szCs w:val="16"/>
                </w:rPr>
                <w:t>1</w:t>
              </w:r>
              <w:r w:rsidRPr="00777B35">
                <w:rPr>
                  <w:rFonts w:ascii="Century Gothic" w:hAnsi="Century Gothic" w:cs="Arial"/>
                  <w:b/>
                  <w:sz w:val="16"/>
                  <w:szCs w:val="16"/>
                </w:rPr>
                <w:fldChar w:fldCharType="end"/>
              </w:r>
              <w:r w:rsidRPr="00777B35">
                <w:rPr>
                  <w:rFonts w:ascii="Century Gothic" w:hAnsi="Century Gothic" w:cs="Arial"/>
                  <w:b/>
                  <w:sz w:val="16"/>
                  <w:szCs w:val="16"/>
                  <w:lang w:val="es-ES"/>
                </w:rPr>
                <w:t xml:space="preserve"> de </w:t>
              </w:r>
              <w:r w:rsidR="009E798E" w:rsidRPr="00777B35">
                <w:rPr>
                  <w:sz w:val="16"/>
                  <w:szCs w:val="16"/>
                </w:rPr>
                <w:fldChar w:fldCharType="begin"/>
              </w:r>
              <w:r w:rsidR="009E798E" w:rsidRPr="00777B35">
                <w:rPr>
                  <w:sz w:val="16"/>
                  <w:szCs w:val="16"/>
                </w:rPr>
                <w:instrText>NUMPAGES  \* Arabic  \* MERGEFORMAT</w:instrText>
              </w:r>
              <w:r w:rsidR="009E798E" w:rsidRPr="00777B35">
                <w:rPr>
                  <w:sz w:val="16"/>
                  <w:szCs w:val="16"/>
                </w:rPr>
                <w:fldChar w:fldCharType="separate"/>
              </w:r>
              <w:r w:rsidR="00F138C8" w:rsidRPr="00F138C8">
                <w:rPr>
                  <w:rFonts w:ascii="Century Gothic" w:hAnsi="Century Gothic" w:cs="Arial"/>
                  <w:b/>
                  <w:noProof/>
                  <w:sz w:val="16"/>
                  <w:szCs w:val="16"/>
                </w:rPr>
                <w:t>1</w:t>
              </w:r>
              <w:r w:rsidR="009E798E" w:rsidRPr="00777B35">
                <w:rPr>
                  <w:rFonts w:ascii="Century Gothic" w:hAnsi="Century Gothic" w:cs="Arial"/>
                  <w:b/>
                  <w:noProof/>
                  <w:sz w:val="16"/>
                  <w:szCs w:val="16"/>
                </w:rPr>
                <w:fldChar w:fldCharType="end"/>
              </w:r>
            </w:p>
          </w:sdtContent>
        </w:sdt>
      </w:tc>
    </w:tr>
  </w:tbl>
  <w:p w14:paraId="0DAC707A" w14:textId="77777777" w:rsidR="00CC21EA" w:rsidRPr="00AE7691" w:rsidRDefault="00673573" w:rsidP="00AE7691">
    <w:pPr>
      <w:pStyle w:val="Piedepgina"/>
      <w:jc w:val="right"/>
      <w:rPr>
        <w:rFonts w:ascii="Arial" w:hAnsi="Arial" w:cs="Arial"/>
        <w:sz w:val="20"/>
        <w:szCs w:val="20"/>
      </w:rPr>
    </w:pPr>
    <w:r>
      <w:rPr>
        <w:noProof/>
        <w:lang w:eastAsia="es-MX"/>
      </w:rPr>
      <mc:AlternateContent>
        <mc:Choice Requires="wps">
          <w:drawing>
            <wp:anchor distT="0" distB="0" distL="114300" distR="114300" simplePos="0" relativeHeight="251671552" behindDoc="0" locked="0" layoutInCell="1" allowOverlap="1" wp14:anchorId="561FF178" wp14:editId="227F79F6">
              <wp:simplePos x="0" y="0"/>
              <wp:positionH relativeFrom="column">
                <wp:posOffset>-628650</wp:posOffset>
              </wp:positionH>
              <wp:positionV relativeFrom="paragraph">
                <wp:posOffset>89535</wp:posOffset>
              </wp:positionV>
              <wp:extent cx="7823835" cy="304800"/>
              <wp:effectExtent l="0" t="0" r="571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304800"/>
                      </a:xfrm>
                      <a:prstGeom prst="rect">
                        <a:avLst/>
                      </a:prstGeom>
                      <a:solidFill>
                        <a:srgbClr val="FF8300"/>
                      </a:solidFill>
                      <a:ln>
                        <a:noFill/>
                      </a:ln>
                    </wps:spPr>
                    <wps:txbx>
                      <w:txbxContent>
                        <w:p w14:paraId="3D73AA64" w14:textId="77777777"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61FF178" id="Rectángulo 3" o:spid="_x0000_s1026" style="position:absolute;left:0;text-align:left;margin-left:-49.5pt;margin-top:7.05pt;width:616.0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" fillcolor="#ff8300" stroked="f">
              <v:textbox>
                <w:txbxContent>
                  <w:p w14:paraId="3D73AA64" w14:textId="77777777"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v:textbox>
            </v:rect>
          </w:pict>
        </mc:Fallback>
      </mc:AlternateContent>
    </w:r>
    <w:r w:rsidR="00AE7691">
      <w:rPr>
        <w:rFonts w:ascii="Arial" w:hAnsi="Arial" w:cs="Arial"/>
        <w:sz w:val="20"/>
        <w:szCs w:val="20"/>
      </w:rPr>
      <w:t xml:space="preserve"> </w:t>
    </w:r>
    <w:sdt>
      <w:sdtPr>
        <w:rPr>
          <w:rFonts w:ascii="Arial" w:hAnsi="Arial" w:cs="Arial"/>
          <w:sz w:val="20"/>
          <w:szCs w:val="20"/>
        </w:rPr>
        <w:id w:val="-1673488533"/>
        <w:docPartObj>
          <w:docPartGallery w:val="Page Numbers (Bottom of Page)"/>
          <w:docPartUnique/>
        </w:docPartObj>
      </w:sdtPr>
      <w:sdtEndPr/>
      <w:sdtContent/>
    </w:sdt>
    <w:r>
      <w:rPr>
        <w:rFonts w:ascii="Times New Roman" w:hAnsi="Times New Roman" w:cs="Times New Roman"/>
        <w:noProof/>
        <w:sz w:val="24"/>
        <w:szCs w:val="24"/>
        <w:lang w:eastAsia="es-MX"/>
      </w:rPr>
      <mc:AlternateContent>
        <mc:Choice Requires="wps">
          <w:drawing>
            <wp:anchor distT="0" distB="0" distL="114300" distR="114300" simplePos="0" relativeHeight="251669504" behindDoc="0" locked="0" layoutInCell="1" allowOverlap="1" wp14:anchorId="0F76A564" wp14:editId="55B3AAB2">
              <wp:simplePos x="0" y="0"/>
              <wp:positionH relativeFrom="column">
                <wp:posOffset>-103505</wp:posOffset>
              </wp:positionH>
              <wp:positionV relativeFrom="paragraph">
                <wp:posOffset>9768205</wp:posOffset>
              </wp:positionV>
              <wp:extent cx="7823835" cy="175895"/>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40CCD8" id="Rectángulo 2" o:spid="_x0000_s1026" style="position:absolute;margin-left:-8.15pt;margin-top:769.15pt;width:616.05pt;height:1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" fillcolor="#ff8300" stroked="f"/>
          </w:pict>
        </mc:Fallback>
      </mc:AlternateContent>
    </w:r>
    <w:r>
      <w:rPr>
        <w:rFonts w:ascii="Times New Roman" w:hAnsi="Times New Roman" w:cs="Times New Roman"/>
        <w:noProof/>
        <w:sz w:val="24"/>
        <w:szCs w:val="24"/>
        <w:lang w:eastAsia="es-MX"/>
      </w:rPr>
      <mc:AlternateContent>
        <mc:Choice Requires="wps">
          <w:drawing>
            <wp:anchor distT="0" distB="0" distL="114300" distR="114300" simplePos="0" relativeHeight="251667456" behindDoc="0" locked="0" layoutInCell="1" allowOverlap="1" wp14:anchorId="68A83F6F" wp14:editId="19967E30">
              <wp:simplePos x="0" y="0"/>
              <wp:positionH relativeFrom="column">
                <wp:posOffset>-103505</wp:posOffset>
              </wp:positionH>
              <wp:positionV relativeFrom="paragraph">
                <wp:posOffset>9768205</wp:posOffset>
              </wp:positionV>
              <wp:extent cx="7823835" cy="175895"/>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A901FD7" id="Rectángulo 1" o:spid="_x0000_s1026" style="position:absolute;margin-left:-8.15pt;margin-top:769.15pt;width:616.05pt;height:13.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" fillcolor="#ff8300"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F649A" w14:textId="77777777" w:rsidR="00F02329" w:rsidRDefault="00F02329" w:rsidP="007B1FEB">
      <w:pPr>
        <w:spacing w:after="0" w:line="240" w:lineRule="auto"/>
      </w:pPr>
      <w:r>
        <w:separator/>
      </w:r>
    </w:p>
  </w:footnote>
  <w:footnote w:type="continuationSeparator" w:id="0">
    <w:p w14:paraId="366EDB67" w14:textId="77777777" w:rsidR="00F02329" w:rsidRDefault="00F02329" w:rsidP="007B1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0"/>
      <w:gridCol w:w="3403"/>
      <w:gridCol w:w="3403"/>
    </w:tblGrid>
    <w:tr w:rsidR="00E36D60" w14:paraId="706B41C8" w14:textId="77777777" w:rsidTr="003255DE">
      <w:trPr>
        <w:trHeight w:val="851"/>
      </w:trPr>
      <w:tc>
        <w:tcPr>
          <w:tcW w:w="1666" w:type="pct"/>
          <w:shd w:val="clear" w:color="auto" w:fill="auto"/>
        </w:tcPr>
        <w:p w14:paraId="26ED16CE" w14:textId="77777777" w:rsidR="00E36D60" w:rsidRDefault="003255DE" w:rsidP="00CB7A0D">
          <w:pPr>
            <w:pStyle w:val="Encabezado"/>
            <w:rPr>
              <w:rFonts w:ascii="Arial" w:hAnsi="Arial" w:cs="Arial"/>
              <w:color w:val="404040" w:themeColor="text1" w:themeTint="BF"/>
              <w:sz w:val="18"/>
              <w:szCs w:val="18"/>
            </w:rPr>
          </w:pPr>
          <w:r w:rsidRPr="00CB7A0D">
            <w:rPr>
              <w:noProof/>
              <w:color w:val="404040" w:themeColor="text1" w:themeTint="BF"/>
              <w:sz w:val="16"/>
              <w:szCs w:val="16"/>
              <w:lang w:eastAsia="es-MX"/>
            </w:rPr>
            <w:drawing>
              <wp:anchor distT="0" distB="0" distL="114300" distR="114300" simplePos="0" relativeHeight="251663360" behindDoc="0" locked="0" layoutInCell="1" allowOverlap="1" wp14:anchorId="6D16F6C7" wp14:editId="25063255">
                <wp:simplePos x="0" y="0"/>
                <wp:positionH relativeFrom="column">
                  <wp:posOffset>17145</wp:posOffset>
                </wp:positionH>
                <wp:positionV relativeFrom="paragraph">
                  <wp:posOffset>-40005</wp:posOffset>
                </wp:positionV>
                <wp:extent cx="2047875" cy="548201"/>
                <wp:effectExtent l="0" t="0" r="0" b="4445"/>
                <wp:wrapNone/>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l="6272" t="11225" r="5052" b="13575"/>
                        <a:stretch/>
                      </pic:blipFill>
                      <pic:spPr bwMode="auto">
                        <a:xfrm>
                          <a:off x="0" y="0"/>
                          <a:ext cx="2047875" cy="5482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667" w:type="pct"/>
          <w:shd w:val="clear" w:color="auto" w:fill="auto"/>
        </w:tcPr>
        <w:p w14:paraId="7090945B" w14:textId="77777777" w:rsidR="00E36D60" w:rsidRDefault="003255DE" w:rsidP="00E36D60">
          <w:pPr>
            <w:pStyle w:val="Encabezado"/>
            <w:jc w:val="center"/>
            <w:rPr>
              <w:rFonts w:ascii="Arial" w:hAnsi="Arial" w:cs="Arial"/>
              <w:color w:val="404040" w:themeColor="text1" w:themeTint="BF"/>
              <w:sz w:val="18"/>
              <w:szCs w:val="18"/>
            </w:rPr>
          </w:pPr>
          <w:r>
            <w:rPr>
              <w:rFonts w:ascii="Nutmeg Book" w:eastAsia="Nutmeg Book" w:hAnsi="Nutmeg Book" w:cs="Nutmeg Book"/>
              <w:noProof/>
              <w:sz w:val="26"/>
              <w:szCs w:val="26"/>
              <w:lang w:eastAsia="es-MX"/>
            </w:rPr>
            <w:drawing>
              <wp:anchor distT="0" distB="0" distL="114300" distR="114300" simplePos="0" relativeHeight="251673600" behindDoc="0" locked="0" layoutInCell="1" allowOverlap="1" wp14:anchorId="79C5B6AD" wp14:editId="30FDF5D9">
                <wp:simplePos x="0" y="0"/>
                <wp:positionH relativeFrom="column">
                  <wp:posOffset>837565</wp:posOffset>
                </wp:positionH>
                <wp:positionV relativeFrom="paragraph">
                  <wp:posOffset>-44450</wp:posOffset>
                </wp:positionV>
                <wp:extent cx="1257300" cy="505185"/>
                <wp:effectExtent l="0" t="0" r="0" b="9525"/>
                <wp:wrapNone/>
                <wp:docPr id="19"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2">
                          <a:extLst>
                            <a:ext uri="{28A0092B-C50C-407E-A947-70E740481C1C}">
                              <a14:useLocalDpi xmlns:a14="http://schemas.microsoft.com/office/drawing/2010/main" val="0"/>
                            </a:ext>
                          </a:extLst>
                        </a:blip>
                        <a:stretch>
                          <a:fillRect/>
                        </a:stretch>
                      </pic:blipFill>
                      <pic:spPr>
                        <a:xfrm>
                          <a:off x="0" y="0"/>
                          <a:ext cx="1257300" cy="505185"/>
                        </a:xfrm>
                        <a:prstGeom prst="rect">
                          <a:avLst/>
                        </a:prstGeom>
                      </pic:spPr>
                    </pic:pic>
                  </a:graphicData>
                </a:graphic>
                <wp14:sizeRelH relativeFrom="page">
                  <wp14:pctWidth>0</wp14:pctWidth>
                </wp14:sizeRelH>
                <wp14:sizeRelV relativeFrom="page">
                  <wp14:pctHeight>0</wp14:pctHeight>
                </wp14:sizeRelV>
              </wp:anchor>
            </w:drawing>
          </w:r>
        </w:p>
      </w:tc>
      <w:tc>
        <w:tcPr>
          <w:tcW w:w="1667" w:type="pct"/>
          <w:shd w:val="clear" w:color="auto" w:fill="auto"/>
        </w:tcPr>
        <w:p w14:paraId="759857BF" w14:textId="77777777" w:rsidR="00E36D60" w:rsidRPr="00E36D60" w:rsidRDefault="003255DE" w:rsidP="00CB7A0D">
          <w:pPr>
            <w:pStyle w:val="Encabezado"/>
            <w:rPr>
              <w:rFonts w:ascii="Arial" w:hAnsi="Arial" w:cs="Arial"/>
              <w:color w:val="404040" w:themeColor="text1" w:themeTint="BF"/>
              <w:sz w:val="20"/>
              <w:szCs w:val="20"/>
            </w:rPr>
          </w:pPr>
          <w:r w:rsidRPr="00E36D60">
            <w:rPr>
              <w:noProof/>
              <w:color w:val="404040" w:themeColor="text1" w:themeTint="BF"/>
              <w:sz w:val="16"/>
              <w:szCs w:val="16"/>
              <w:lang w:eastAsia="es-MX"/>
            </w:rPr>
            <w:drawing>
              <wp:anchor distT="0" distB="0" distL="114300" distR="114300" simplePos="0" relativeHeight="251665408" behindDoc="0" locked="0" layoutInCell="1" allowOverlap="1" wp14:anchorId="19CD47FF" wp14:editId="734FC405">
                <wp:simplePos x="0" y="0"/>
                <wp:positionH relativeFrom="column">
                  <wp:posOffset>1122680</wp:posOffset>
                </wp:positionH>
                <wp:positionV relativeFrom="paragraph">
                  <wp:posOffset>-190500</wp:posOffset>
                </wp:positionV>
                <wp:extent cx="694794" cy="657225"/>
                <wp:effectExtent l="0" t="0" r="0" b="0"/>
                <wp:wrapNone/>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3">
                          <a:extLst>
                            <a:ext uri="{28A0092B-C50C-407E-A947-70E740481C1C}">
                              <a14:useLocalDpi xmlns:a14="http://schemas.microsoft.com/office/drawing/2010/main" val="0"/>
                            </a:ext>
                          </a:extLst>
                        </a:blip>
                        <a:srcRect l="5009" t="8174" r="76056" b="9412"/>
                        <a:stretch/>
                      </pic:blipFill>
                      <pic:spPr bwMode="auto">
                        <a:xfrm>
                          <a:off x="0" y="0"/>
                          <a:ext cx="694794" cy="65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5DC7782F" w14:textId="77777777" w:rsidR="00CC21EA" w:rsidRPr="00E36D60" w:rsidRDefault="00CC21EA" w:rsidP="00CB7A0D">
    <w:pPr>
      <w:pStyle w:val="Encabezado"/>
      <w:rPr>
        <w:rFonts w:ascii="Arial" w:hAnsi="Arial" w:cs="Arial"/>
        <w:color w:val="404040" w:themeColor="text1" w:themeTint="BF"/>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0746B"/>
    <w:multiLevelType w:val="multilevel"/>
    <w:tmpl w:val="FF2A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939B3"/>
    <w:multiLevelType w:val="multilevel"/>
    <w:tmpl w:val="AE6255AE"/>
    <w:lvl w:ilvl="0">
      <w:start w:val="1"/>
      <w:numFmt w:val="decimal"/>
      <w:lvlText w:val="%1."/>
      <w:lvlJc w:val="left"/>
      <w:pPr>
        <w:ind w:left="4755" w:hanging="360"/>
      </w:pPr>
      <w:rPr>
        <w:rFonts w:hint="default"/>
        <w:b/>
        <w:color w:val="767171" w:themeColor="background2" w:themeShade="80"/>
      </w:rPr>
    </w:lvl>
    <w:lvl w:ilvl="1">
      <w:start w:val="1"/>
      <w:numFmt w:val="upperRoman"/>
      <w:lvlText w:val="%2."/>
      <w:lvlJc w:val="left"/>
      <w:pPr>
        <w:ind w:left="5475" w:hanging="360"/>
      </w:pPr>
      <w:rPr>
        <w:rFonts w:hint="default"/>
      </w:rPr>
    </w:lvl>
    <w:lvl w:ilvl="2">
      <w:start w:val="1"/>
      <w:numFmt w:val="lowerLetter"/>
      <w:lvlText w:val="%3."/>
      <w:lvlJc w:val="right"/>
      <w:pPr>
        <w:ind w:left="6195" w:hanging="180"/>
      </w:pPr>
      <w:rPr>
        <w:rFonts w:hint="default"/>
      </w:rPr>
    </w:lvl>
    <w:lvl w:ilvl="3">
      <w:start w:val="1"/>
      <w:numFmt w:val="decimal"/>
      <w:lvlText w:val="%4."/>
      <w:lvlJc w:val="left"/>
      <w:pPr>
        <w:ind w:left="6915" w:hanging="360"/>
      </w:pPr>
      <w:rPr>
        <w:rFonts w:hint="default"/>
      </w:rPr>
    </w:lvl>
    <w:lvl w:ilvl="4">
      <w:start w:val="1"/>
      <w:numFmt w:val="lowerLetter"/>
      <w:lvlText w:val="%5."/>
      <w:lvlJc w:val="left"/>
      <w:pPr>
        <w:ind w:left="7635" w:hanging="360"/>
      </w:pPr>
      <w:rPr>
        <w:rFonts w:hint="default"/>
      </w:rPr>
    </w:lvl>
    <w:lvl w:ilvl="5">
      <w:start w:val="1"/>
      <w:numFmt w:val="lowerRoman"/>
      <w:lvlText w:val="%6."/>
      <w:lvlJc w:val="right"/>
      <w:pPr>
        <w:ind w:left="8355" w:hanging="180"/>
      </w:pPr>
      <w:rPr>
        <w:rFonts w:hint="default"/>
      </w:rPr>
    </w:lvl>
    <w:lvl w:ilvl="6">
      <w:start w:val="1"/>
      <w:numFmt w:val="decimal"/>
      <w:lvlText w:val="%7."/>
      <w:lvlJc w:val="left"/>
      <w:pPr>
        <w:ind w:left="9075" w:hanging="360"/>
      </w:pPr>
      <w:rPr>
        <w:rFonts w:hint="default"/>
      </w:rPr>
    </w:lvl>
    <w:lvl w:ilvl="7">
      <w:start w:val="1"/>
      <w:numFmt w:val="lowerLetter"/>
      <w:lvlText w:val="%8."/>
      <w:lvlJc w:val="left"/>
      <w:pPr>
        <w:ind w:left="9795" w:hanging="360"/>
      </w:pPr>
      <w:rPr>
        <w:rFonts w:hint="default"/>
      </w:rPr>
    </w:lvl>
    <w:lvl w:ilvl="8">
      <w:start w:val="1"/>
      <w:numFmt w:val="lowerRoman"/>
      <w:lvlText w:val="%9."/>
      <w:lvlJc w:val="right"/>
      <w:pPr>
        <w:ind w:left="10515" w:hanging="180"/>
      </w:pPr>
      <w:rPr>
        <w:rFonts w:hint="default"/>
      </w:rPr>
    </w:lvl>
  </w:abstractNum>
  <w:abstractNum w:abstractNumId="2" w15:restartNumberingAfterBreak="0">
    <w:nsid w:val="79CF4041"/>
    <w:multiLevelType w:val="multilevel"/>
    <w:tmpl w:val="9F867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550"/>
    <w:rsid w:val="00011D35"/>
    <w:rsid w:val="000207F0"/>
    <w:rsid w:val="0003521A"/>
    <w:rsid w:val="00043A0B"/>
    <w:rsid w:val="000554E9"/>
    <w:rsid w:val="00070040"/>
    <w:rsid w:val="000741E0"/>
    <w:rsid w:val="00076C77"/>
    <w:rsid w:val="0009330C"/>
    <w:rsid w:val="000A3E6C"/>
    <w:rsid w:val="000B1058"/>
    <w:rsid w:val="000D0550"/>
    <w:rsid w:val="000F7ABA"/>
    <w:rsid w:val="00121727"/>
    <w:rsid w:val="00147AF9"/>
    <w:rsid w:val="00177089"/>
    <w:rsid w:val="00183D6D"/>
    <w:rsid w:val="001A41CE"/>
    <w:rsid w:val="001B00F3"/>
    <w:rsid w:val="001B5D19"/>
    <w:rsid w:val="001E270F"/>
    <w:rsid w:val="00202EFB"/>
    <w:rsid w:val="00213273"/>
    <w:rsid w:val="002161C2"/>
    <w:rsid w:val="002302D1"/>
    <w:rsid w:val="00232252"/>
    <w:rsid w:val="002463DE"/>
    <w:rsid w:val="00255BCC"/>
    <w:rsid w:val="002723DF"/>
    <w:rsid w:val="002A3FAE"/>
    <w:rsid w:val="003255DE"/>
    <w:rsid w:val="0035394A"/>
    <w:rsid w:val="003555FD"/>
    <w:rsid w:val="00362F42"/>
    <w:rsid w:val="003756F7"/>
    <w:rsid w:val="00380FDA"/>
    <w:rsid w:val="0038279D"/>
    <w:rsid w:val="003A4F07"/>
    <w:rsid w:val="003C42E8"/>
    <w:rsid w:val="003C7704"/>
    <w:rsid w:val="00443319"/>
    <w:rsid w:val="00451ECE"/>
    <w:rsid w:val="00472E74"/>
    <w:rsid w:val="004A1AB8"/>
    <w:rsid w:val="004C5626"/>
    <w:rsid w:val="004C6EBE"/>
    <w:rsid w:val="004C7264"/>
    <w:rsid w:val="004D0D17"/>
    <w:rsid w:val="004D1623"/>
    <w:rsid w:val="004D6767"/>
    <w:rsid w:val="004E169B"/>
    <w:rsid w:val="0051275C"/>
    <w:rsid w:val="005577BA"/>
    <w:rsid w:val="00575081"/>
    <w:rsid w:val="00593841"/>
    <w:rsid w:val="005B4BA5"/>
    <w:rsid w:val="005C2F67"/>
    <w:rsid w:val="005C673B"/>
    <w:rsid w:val="005F57B2"/>
    <w:rsid w:val="006075E5"/>
    <w:rsid w:val="006513D2"/>
    <w:rsid w:val="0065650A"/>
    <w:rsid w:val="00673573"/>
    <w:rsid w:val="006A7331"/>
    <w:rsid w:val="006F6EE8"/>
    <w:rsid w:val="00751B1B"/>
    <w:rsid w:val="00760328"/>
    <w:rsid w:val="00777B35"/>
    <w:rsid w:val="0079720D"/>
    <w:rsid w:val="007B1FEB"/>
    <w:rsid w:val="007B6317"/>
    <w:rsid w:val="007C24C7"/>
    <w:rsid w:val="007D1C39"/>
    <w:rsid w:val="007F5A90"/>
    <w:rsid w:val="00811BEC"/>
    <w:rsid w:val="0081217B"/>
    <w:rsid w:val="00822FF0"/>
    <w:rsid w:val="00835BEA"/>
    <w:rsid w:val="00837687"/>
    <w:rsid w:val="00842EFE"/>
    <w:rsid w:val="00891878"/>
    <w:rsid w:val="008C0BDE"/>
    <w:rsid w:val="008D5C40"/>
    <w:rsid w:val="008D5EAD"/>
    <w:rsid w:val="008F2E1A"/>
    <w:rsid w:val="00957951"/>
    <w:rsid w:val="00957BBC"/>
    <w:rsid w:val="00960867"/>
    <w:rsid w:val="009901DE"/>
    <w:rsid w:val="009E0775"/>
    <w:rsid w:val="009E798E"/>
    <w:rsid w:val="00A64AC1"/>
    <w:rsid w:val="00A6602C"/>
    <w:rsid w:val="00A81DA9"/>
    <w:rsid w:val="00AD7B00"/>
    <w:rsid w:val="00AE7691"/>
    <w:rsid w:val="00AF5580"/>
    <w:rsid w:val="00B126D3"/>
    <w:rsid w:val="00B127F2"/>
    <w:rsid w:val="00B13478"/>
    <w:rsid w:val="00B16CCD"/>
    <w:rsid w:val="00B479F6"/>
    <w:rsid w:val="00B835C5"/>
    <w:rsid w:val="00BA161D"/>
    <w:rsid w:val="00BA5332"/>
    <w:rsid w:val="00C54EF1"/>
    <w:rsid w:val="00C66B44"/>
    <w:rsid w:val="00C72F80"/>
    <w:rsid w:val="00C90D9C"/>
    <w:rsid w:val="00C91609"/>
    <w:rsid w:val="00CA635C"/>
    <w:rsid w:val="00CB7A0D"/>
    <w:rsid w:val="00CC21EA"/>
    <w:rsid w:val="00CD2C85"/>
    <w:rsid w:val="00CD715F"/>
    <w:rsid w:val="00CE2DA3"/>
    <w:rsid w:val="00D624CC"/>
    <w:rsid w:val="00D80748"/>
    <w:rsid w:val="00DD32B0"/>
    <w:rsid w:val="00E104FB"/>
    <w:rsid w:val="00E36D60"/>
    <w:rsid w:val="00E40F0E"/>
    <w:rsid w:val="00E57CFB"/>
    <w:rsid w:val="00E70AF9"/>
    <w:rsid w:val="00EA52D4"/>
    <w:rsid w:val="00EB67E5"/>
    <w:rsid w:val="00EC394B"/>
    <w:rsid w:val="00EC4916"/>
    <w:rsid w:val="00ED7560"/>
    <w:rsid w:val="00F02329"/>
    <w:rsid w:val="00F1019E"/>
    <w:rsid w:val="00F138C8"/>
    <w:rsid w:val="00F40472"/>
    <w:rsid w:val="00F47997"/>
    <w:rsid w:val="00F718A2"/>
    <w:rsid w:val="00F879FF"/>
    <w:rsid w:val="00F92CAE"/>
    <w:rsid w:val="00FC005D"/>
    <w:rsid w:val="00FD67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611A27"/>
  <w15:docId w15:val="{12D5B10A-FEAC-4363-80AD-5247F07E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56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0550"/>
    <w:pPr>
      <w:ind w:left="720"/>
      <w:contextualSpacing/>
    </w:pPr>
  </w:style>
  <w:style w:type="paragraph" w:styleId="Encabezado">
    <w:name w:val="header"/>
    <w:basedOn w:val="Normal"/>
    <w:link w:val="EncabezadoCar"/>
    <w:uiPriority w:val="99"/>
    <w:unhideWhenUsed/>
    <w:rsid w:val="007B1F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1FEB"/>
  </w:style>
  <w:style w:type="paragraph" w:styleId="Piedepgina">
    <w:name w:val="footer"/>
    <w:basedOn w:val="Normal"/>
    <w:link w:val="PiedepginaCar"/>
    <w:uiPriority w:val="99"/>
    <w:unhideWhenUsed/>
    <w:rsid w:val="007B1FE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1FEB"/>
  </w:style>
  <w:style w:type="table" w:styleId="Tablaconcuadrcula">
    <w:name w:val="Table Grid"/>
    <w:basedOn w:val="Tablanormal"/>
    <w:uiPriority w:val="39"/>
    <w:rsid w:val="004C6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9160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1609"/>
    <w:rPr>
      <w:rFonts w:ascii="Segoe UI" w:hAnsi="Segoe UI" w:cs="Segoe UI"/>
      <w:sz w:val="18"/>
      <w:szCs w:val="18"/>
    </w:rPr>
  </w:style>
  <w:style w:type="table" w:customStyle="1" w:styleId="Tabladecuadrcula5oscura-nfasis31">
    <w:name w:val="Tabla de cuadrícula 5 oscura - Énfasis 31"/>
    <w:basedOn w:val="Tablanormal"/>
    <w:uiPriority w:val="50"/>
    <w:rsid w:val="00575081"/>
    <w:pPr>
      <w:spacing w:after="0" w:line="240" w:lineRule="auto"/>
    </w:pPr>
    <w:tblPr>
      <w:tblStyleRowBandSize w:val="1"/>
      <w:tblStyleColBandSize w:val="1"/>
      <w:tblBorders>
        <w:top w:val="single" w:sz="4" w:space="0" w:color="D5DCE4" w:themeColor="text2" w:themeTint="33"/>
        <w:left w:val="single" w:sz="4" w:space="0" w:color="D5DCE4" w:themeColor="text2" w:themeTint="33"/>
        <w:bottom w:val="single" w:sz="4" w:space="0" w:color="D5DCE4" w:themeColor="text2" w:themeTint="33"/>
        <w:right w:val="single" w:sz="4" w:space="0" w:color="D5DCE4" w:themeColor="text2" w:themeTint="33"/>
        <w:insideH w:val="single" w:sz="4" w:space="0" w:color="D5DCE4" w:themeColor="text2" w:themeTint="33"/>
        <w:insideV w:val="single" w:sz="4" w:space="0" w:color="D5DCE4" w:themeColor="text2" w:themeTint="33"/>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NormalWeb">
    <w:name w:val="Normal (Web)"/>
    <w:basedOn w:val="Normal"/>
    <w:uiPriority w:val="99"/>
    <w:semiHidden/>
    <w:unhideWhenUsed/>
    <w:rsid w:val="003C42E8"/>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Textoennegrita">
    <w:name w:val="Strong"/>
    <w:basedOn w:val="Fuentedeprrafopredeter"/>
    <w:uiPriority w:val="22"/>
    <w:qFormat/>
    <w:rsid w:val="00CD2C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3824">
      <w:bodyDiv w:val="1"/>
      <w:marLeft w:val="0"/>
      <w:marRight w:val="0"/>
      <w:marTop w:val="0"/>
      <w:marBottom w:val="0"/>
      <w:divBdr>
        <w:top w:val="none" w:sz="0" w:space="0" w:color="auto"/>
        <w:left w:val="none" w:sz="0" w:space="0" w:color="auto"/>
        <w:bottom w:val="none" w:sz="0" w:space="0" w:color="auto"/>
        <w:right w:val="none" w:sz="0" w:space="0" w:color="auto"/>
      </w:divBdr>
    </w:div>
    <w:div w:id="439909844">
      <w:bodyDiv w:val="1"/>
      <w:marLeft w:val="0"/>
      <w:marRight w:val="0"/>
      <w:marTop w:val="0"/>
      <w:marBottom w:val="0"/>
      <w:divBdr>
        <w:top w:val="none" w:sz="0" w:space="0" w:color="auto"/>
        <w:left w:val="none" w:sz="0" w:space="0" w:color="auto"/>
        <w:bottom w:val="none" w:sz="0" w:space="0" w:color="auto"/>
        <w:right w:val="none" w:sz="0" w:space="0" w:color="auto"/>
      </w:divBdr>
    </w:div>
    <w:div w:id="589705211">
      <w:bodyDiv w:val="1"/>
      <w:marLeft w:val="0"/>
      <w:marRight w:val="0"/>
      <w:marTop w:val="0"/>
      <w:marBottom w:val="0"/>
      <w:divBdr>
        <w:top w:val="none" w:sz="0" w:space="0" w:color="auto"/>
        <w:left w:val="none" w:sz="0" w:space="0" w:color="auto"/>
        <w:bottom w:val="none" w:sz="0" w:space="0" w:color="auto"/>
        <w:right w:val="none" w:sz="0" w:space="0" w:color="auto"/>
      </w:divBdr>
    </w:div>
    <w:div w:id="613246780">
      <w:bodyDiv w:val="1"/>
      <w:marLeft w:val="0"/>
      <w:marRight w:val="0"/>
      <w:marTop w:val="0"/>
      <w:marBottom w:val="0"/>
      <w:divBdr>
        <w:top w:val="none" w:sz="0" w:space="0" w:color="auto"/>
        <w:left w:val="none" w:sz="0" w:space="0" w:color="auto"/>
        <w:bottom w:val="none" w:sz="0" w:space="0" w:color="auto"/>
        <w:right w:val="none" w:sz="0" w:space="0" w:color="auto"/>
      </w:divBdr>
    </w:div>
    <w:div w:id="655647774">
      <w:bodyDiv w:val="1"/>
      <w:marLeft w:val="0"/>
      <w:marRight w:val="0"/>
      <w:marTop w:val="0"/>
      <w:marBottom w:val="0"/>
      <w:divBdr>
        <w:top w:val="none" w:sz="0" w:space="0" w:color="auto"/>
        <w:left w:val="none" w:sz="0" w:space="0" w:color="auto"/>
        <w:bottom w:val="none" w:sz="0" w:space="0" w:color="auto"/>
        <w:right w:val="none" w:sz="0" w:space="0" w:color="auto"/>
      </w:divBdr>
    </w:div>
    <w:div w:id="711152968">
      <w:bodyDiv w:val="1"/>
      <w:marLeft w:val="0"/>
      <w:marRight w:val="0"/>
      <w:marTop w:val="0"/>
      <w:marBottom w:val="0"/>
      <w:divBdr>
        <w:top w:val="none" w:sz="0" w:space="0" w:color="auto"/>
        <w:left w:val="none" w:sz="0" w:space="0" w:color="auto"/>
        <w:bottom w:val="none" w:sz="0" w:space="0" w:color="auto"/>
        <w:right w:val="none" w:sz="0" w:space="0" w:color="auto"/>
      </w:divBdr>
    </w:div>
    <w:div w:id="844366994">
      <w:bodyDiv w:val="1"/>
      <w:marLeft w:val="0"/>
      <w:marRight w:val="0"/>
      <w:marTop w:val="0"/>
      <w:marBottom w:val="0"/>
      <w:divBdr>
        <w:top w:val="none" w:sz="0" w:space="0" w:color="auto"/>
        <w:left w:val="none" w:sz="0" w:space="0" w:color="auto"/>
        <w:bottom w:val="none" w:sz="0" w:space="0" w:color="auto"/>
        <w:right w:val="none" w:sz="0" w:space="0" w:color="auto"/>
      </w:divBdr>
    </w:div>
    <w:div w:id="948976386">
      <w:bodyDiv w:val="1"/>
      <w:marLeft w:val="0"/>
      <w:marRight w:val="0"/>
      <w:marTop w:val="0"/>
      <w:marBottom w:val="0"/>
      <w:divBdr>
        <w:top w:val="none" w:sz="0" w:space="0" w:color="auto"/>
        <w:left w:val="none" w:sz="0" w:space="0" w:color="auto"/>
        <w:bottom w:val="none" w:sz="0" w:space="0" w:color="auto"/>
        <w:right w:val="none" w:sz="0" w:space="0" w:color="auto"/>
      </w:divBdr>
    </w:div>
    <w:div w:id="1160578168">
      <w:bodyDiv w:val="1"/>
      <w:marLeft w:val="0"/>
      <w:marRight w:val="0"/>
      <w:marTop w:val="0"/>
      <w:marBottom w:val="0"/>
      <w:divBdr>
        <w:top w:val="none" w:sz="0" w:space="0" w:color="auto"/>
        <w:left w:val="none" w:sz="0" w:space="0" w:color="auto"/>
        <w:bottom w:val="none" w:sz="0" w:space="0" w:color="auto"/>
        <w:right w:val="none" w:sz="0" w:space="0" w:color="auto"/>
      </w:divBdr>
      <w:divsChild>
        <w:div w:id="1600672708">
          <w:marLeft w:val="0"/>
          <w:marRight w:val="0"/>
          <w:marTop w:val="0"/>
          <w:marBottom w:val="0"/>
          <w:divBdr>
            <w:top w:val="none" w:sz="0" w:space="0" w:color="auto"/>
            <w:left w:val="none" w:sz="0" w:space="0" w:color="auto"/>
            <w:bottom w:val="none" w:sz="0" w:space="0" w:color="auto"/>
            <w:right w:val="none" w:sz="0" w:space="0" w:color="auto"/>
          </w:divBdr>
        </w:div>
        <w:div w:id="1178352557">
          <w:marLeft w:val="0"/>
          <w:marRight w:val="0"/>
          <w:marTop w:val="0"/>
          <w:marBottom w:val="0"/>
          <w:divBdr>
            <w:top w:val="none" w:sz="0" w:space="0" w:color="auto"/>
            <w:left w:val="none" w:sz="0" w:space="0" w:color="auto"/>
            <w:bottom w:val="none" w:sz="0" w:space="0" w:color="auto"/>
            <w:right w:val="none" w:sz="0" w:space="0" w:color="auto"/>
          </w:divBdr>
        </w:div>
      </w:divsChild>
    </w:div>
    <w:div w:id="1388067899">
      <w:bodyDiv w:val="1"/>
      <w:marLeft w:val="0"/>
      <w:marRight w:val="0"/>
      <w:marTop w:val="0"/>
      <w:marBottom w:val="0"/>
      <w:divBdr>
        <w:top w:val="none" w:sz="0" w:space="0" w:color="auto"/>
        <w:left w:val="none" w:sz="0" w:space="0" w:color="auto"/>
        <w:bottom w:val="none" w:sz="0" w:space="0" w:color="auto"/>
        <w:right w:val="none" w:sz="0" w:space="0" w:color="auto"/>
      </w:divBdr>
    </w:div>
    <w:div w:id="1601257133">
      <w:bodyDiv w:val="1"/>
      <w:marLeft w:val="0"/>
      <w:marRight w:val="0"/>
      <w:marTop w:val="0"/>
      <w:marBottom w:val="0"/>
      <w:divBdr>
        <w:top w:val="none" w:sz="0" w:space="0" w:color="auto"/>
        <w:left w:val="none" w:sz="0" w:space="0" w:color="auto"/>
        <w:bottom w:val="none" w:sz="0" w:space="0" w:color="auto"/>
        <w:right w:val="none" w:sz="0" w:space="0" w:color="auto"/>
      </w:divBdr>
    </w:div>
    <w:div w:id="1759132420">
      <w:bodyDiv w:val="1"/>
      <w:marLeft w:val="0"/>
      <w:marRight w:val="0"/>
      <w:marTop w:val="0"/>
      <w:marBottom w:val="0"/>
      <w:divBdr>
        <w:top w:val="none" w:sz="0" w:space="0" w:color="auto"/>
        <w:left w:val="none" w:sz="0" w:space="0" w:color="auto"/>
        <w:bottom w:val="none" w:sz="0" w:space="0" w:color="auto"/>
        <w:right w:val="none" w:sz="0" w:space="0" w:color="auto"/>
      </w:divBdr>
    </w:div>
    <w:div w:id="209272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A9D67-3CC3-4341-B65E-BBF005A38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872</Words>
  <Characters>4798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Viridiana Álvarez</cp:lastModifiedBy>
  <cp:revision>21</cp:revision>
  <cp:lastPrinted>2025-03-13T17:59:00Z</cp:lastPrinted>
  <dcterms:created xsi:type="dcterms:W3CDTF">2025-03-13T17:45:00Z</dcterms:created>
  <dcterms:modified xsi:type="dcterms:W3CDTF">2026-04-29T19:01:00Z</dcterms:modified>
</cp:coreProperties>
</file>