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05E862" w14:textId="1E0F8D1C" w:rsidR="001A41CE" w:rsidRPr="001A41CE" w:rsidRDefault="003C42E8" w:rsidP="001A41CE">
      <w:pPr>
        <w:pBdr>
          <w:top w:val="single" w:sz="4" w:space="1" w:color="D5DCE4" w:themeColor="text2" w:themeTint="33"/>
          <w:left w:val="single" w:sz="4" w:space="0"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hd w:val="clear" w:color="auto" w:fill="8296A9"/>
        <w:spacing w:after="0" w:line="360" w:lineRule="auto"/>
        <w:jc w:val="center"/>
        <w:textAlignment w:val="baseline"/>
        <w:rPr>
          <w:rFonts w:ascii="Arial" w:eastAsia="Times New Roman" w:hAnsi="Arial" w:cs="Arial"/>
          <w:b/>
          <w:bCs/>
          <w:color w:val="FFFFFF" w:themeColor="background1"/>
          <w:sz w:val="10"/>
          <w:szCs w:val="10"/>
          <w:lang w:eastAsia="es-ES_tradnl"/>
        </w:rPr>
      </w:pPr>
      <w:r>
        <w:rPr>
          <w:rFonts w:ascii="Arial" w:eastAsia="Times New Roman" w:hAnsi="Arial" w:cs="Arial"/>
          <w:b/>
          <w:bCs/>
          <w:color w:val="FFFFFF" w:themeColor="background1"/>
          <w:spacing w:val="20"/>
          <w:w w:val="150"/>
          <w:sz w:val="24"/>
          <w:szCs w:val="24"/>
          <w:lang w:eastAsia="es-ES_tradnl"/>
        </w:rPr>
        <w:t>DIAGNÓSTICO</w:t>
      </w:r>
    </w:p>
    <w:p w14:paraId="79B0BD22" w14:textId="0662AB00" w:rsidR="001A41CE" w:rsidRPr="00835BEA" w:rsidRDefault="001A41CE" w:rsidP="001A41CE">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Arial" w:eastAsia="Times New Roman" w:hAnsi="Arial" w:cs="Arial"/>
          <w:b/>
          <w:bCs/>
          <w:sz w:val="24"/>
          <w:szCs w:val="24"/>
          <w:lang w:eastAsia="es-ES_tradnl"/>
        </w:rPr>
      </w:pPr>
      <w:r w:rsidRPr="001A41CE">
        <w:rPr>
          <w:rFonts w:ascii="Arial" w:eastAsia="Times New Roman" w:hAnsi="Arial" w:cs="Arial"/>
          <w:b/>
          <w:bCs/>
          <w:color w:val="8296A9"/>
          <w:sz w:val="24"/>
          <w:szCs w:val="24"/>
          <w:lang w:eastAsia="es-ES_tradnl"/>
        </w:rPr>
        <w:t>Dependencia:</w:t>
      </w:r>
      <w:r w:rsidR="00835BEA">
        <w:rPr>
          <w:rFonts w:ascii="Arial" w:eastAsia="Times New Roman" w:hAnsi="Arial" w:cs="Arial"/>
          <w:b/>
          <w:bCs/>
          <w:color w:val="8296A9"/>
          <w:sz w:val="24"/>
          <w:szCs w:val="24"/>
          <w:lang w:eastAsia="es-ES_tradnl"/>
        </w:rPr>
        <w:t xml:space="preserve"> </w:t>
      </w:r>
      <w:r w:rsidR="00835BEA" w:rsidRPr="00835BEA">
        <w:rPr>
          <w:rFonts w:ascii="Arial" w:eastAsia="Times New Roman" w:hAnsi="Arial" w:cs="Arial"/>
          <w:b/>
          <w:bCs/>
          <w:sz w:val="24"/>
          <w:szCs w:val="24"/>
          <w:lang w:eastAsia="es-ES_tradnl"/>
        </w:rPr>
        <w:t>Secretaría de Cultura</w:t>
      </w:r>
    </w:p>
    <w:p w14:paraId="2E225678" w14:textId="18626607" w:rsidR="00CD2C85" w:rsidRDefault="001A41CE" w:rsidP="00F55BA4">
      <w:pPr>
        <w:pStyle w:val="Encabezado"/>
        <w:pBdr>
          <w:top w:val="single" w:sz="4" w:space="1" w:color="D5DCE4" w:themeColor="text2" w:themeTint="33"/>
          <w:left w:val="single" w:sz="4" w:space="4" w:color="D5DCE4" w:themeColor="text2" w:themeTint="33"/>
          <w:bottom w:val="single" w:sz="4" w:space="1" w:color="D5DCE4" w:themeColor="text2" w:themeTint="33"/>
          <w:right w:val="single" w:sz="4" w:space="4" w:color="D5DCE4" w:themeColor="text2" w:themeTint="33"/>
          <w:between w:val="single" w:sz="4" w:space="1" w:color="D5DCE4" w:themeColor="text2" w:themeTint="33"/>
          <w:bar w:val="single" w:sz="4" w:color="auto"/>
        </w:pBdr>
        <w:spacing w:line="276" w:lineRule="auto"/>
        <w:jc w:val="both"/>
        <w:rPr>
          <w:rFonts w:ascii="Dosis" w:eastAsia="Times New Roman" w:hAnsi="Dosis" w:cs="Times New Roman"/>
          <w:b/>
          <w:bCs/>
          <w:color w:val="000000"/>
          <w:sz w:val="20"/>
          <w:szCs w:val="20"/>
          <w:bdr w:val="none" w:sz="0" w:space="0" w:color="auto" w:frame="1"/>
          <w:lang w:eastAsia="es-MX"/>
        </w:rPr>
      </w:pPr>
      <w:r w:rsidRPr="001A41CE">
        <w:rPr>
          <w:rFonts w:ascii="Arial" w:eastAsia="Times New Roman" w:hAnsi="Arial" w:cs="Arial"/>
          <w:b/>
          <w:bCs/>
          <w:color w:val="8296A9"/>
          <w:sz w:val="24"/>
          <w:szCs w:val="24"/>
          <w:lang w:eastAsia="es-ES_tradnl"/>
        </w:rPr>
        <w:t>Nombre del programa:</w:t>
      </w:r>
      <w:r w:rsidR="00835BEA">
        <w:rPr>
          <w:rFonts w:ascii="Arial" w:eastAsia="Times New Roman" w:hAnsi="Arial" w:cs="Arial"/>
          <w:b/>
          <w:bCs/>
          <w:color w:val="8296A9"/>
          <w:sz w:val="24"/>
          <w:szCs w:val="24"/>
          <w:lang w:eastAsia="es-ES_tradnl"/>
        </w:rPr>
        <w:t xml:space="preserve"> </w:t>
      </w:r>
      <w:r w:rsidR="00F55BA4" w:rsidRPr="00F55BA4">
        <w:rPr>
          <w:rFonts w:ascii="Arial" w:eastAsia="Times New Roman" w:hAnsi="Arial" w:cs="Arial"/>
          <w:b/>
          <w:bCs/>
          <w:sz w:val="24"/>
          <w:szCs w:val="24"/>
          <w:lang w:eastAsia="es-ES_tradnl"/>
        </w:rPr>
        <w:t>Proyecta Producción</w:t>
      </w:r>
    </w:p>
    <w:p w14:paraId="60C2C8F7" w14:textId="00370EDE" w:rsidR="00F55BA4" w:rsidRDefault="00F55BA4" w:rsidP="00CD2C85">
      <w:pPr>
        <w:shd w:val="clear" w:color="auto" w:fill="FFFFFF"/>
        <w:spacing w:after="0" w:line="240" w:lineRule="auto"/>
        <w:jc w:val="both"/>
        <w:textAlignment w:val="baseline"/>
        <w:rPr>
          <w:rFonts w:ascii="Arial" w:eastAsia="Times New Roman" w:hAnsi="Arial" w:cs="Arial"/>
          <w:b/>
          <w:bCs/>
          <w:color w:val="000000"/>
          <w:sz w:val="24"/>
          <w:szCs w:val="24"/>
          <w:bdr w:val="none" w:sz="0" w:space="0" w:color="auto" w:frame="1"/>
          <w:lang w:eastAsia="es-MX"/>
        </w:rPr>
      </w:pPr>
    </w:p>
    <w:p w14:paraId="1C8E5186" w14:textId="77777777" w:rsidR="00F55BA4" w:rsidRPr="00F55BA4" w:rsidRDefault="00F55BA4" w:rsidP="00F55BA4">
      <w:pPr>
        <w:spacing w:after="0" w:line="240" w:lineRule="auto"/>
        <w:textAlignment w:val="baseline"/>
        <w:rPr>
          <w:rFonts w:ascii="Dosis" w:eastAsia="Times New Roman" w:hAnsi="Dosis" w:cs="Times New Roman"/>
          <w:color w:val="000000"/>
          <w:sz w:val="20"/>
          <w:szCs w:val="20"/>
          <w:bdr w:val="none" w:sz="0" w:space="0" w:color="auto" w:frame="1"/>
          <w:lang w:eastAsia="es-MX"/>
        </w:rPr>
      </w:pPr>
      <w:r w:rsidRPr="00F55BA4">
        <w:rPr>
          <w:rFonts w:ascii="Calibri" w:eastAsia="Times New Roman" w:hAnsi="Calibri" w:cs="Calibri"/>
          <w:b/>
          <w:bCs/>
          <w:color w:val="000000"/>
          <w:sz w:val="20"/>
          <w:szCs w:val="20"/>
          <w:bdr w:val="none" w:sz="0" w:space="0" w:color="auto" w:frame="1"/>
          <w:lang w:eastAsia="es-MX"/>
        </w:rPr>
        <w:t>Descripción del problema público.</w:t>
      </w:r>
    </w:p>
    <w:p w14:paraId="1ADA5035" w14:textId="3C498718" w:rsidR="00F55BA4" w:rsidRPr="00F55BA4" w:rsidRDefault="00F55BA4" w:rsidP="00F55BA4">
      <w:pPr>
        <w:spacing w:after="0" w:line="240" w:lineRule="auto"/>
        <w:rPr>
          <w:rFonts w:ascii="Dosis" w:eastAsia="Times New Roman" w:hAnsi="Dosis" w:cs="Times New Roman"/>
          <w:color w:val="000000"/>
          <w:sz w:val="20"/>
          <w:szCs w:val="20"/>
          <w:bdr w:val="none" w:sz="0" w:space="0" w:color="auto" w:frame="1"/>
          <w:lang w:eastAsia="es-MX"/>
        </w:rPr>
      </w:pPr>
    </w:p>
    <w:p w14:paraId="4443C284" w14:textId="77777777" w:rsidR="00F55BA4" w:rsidRPr="00F55BA4" w:rsidRDefault="00F55BA4" w:rsidP="00F55BA4">
      <w:pPr>
        <w:spacing w:after="0" w:line="240" w:lineRule="auto"/>
        <w:jc w:val="both"/>
        <w:textAlignment w:val="baseline"/>
        <w:rPr>
          <w:rFonts w:ascii="Dosis" w:eastAsia="Times New Roman" w:hAnsi="Dosis" w:cs="Times New Roman"/>
          <w:color w:val="000000"/>
          <w:sz w:val="20"/>
          <w:szCs w:val="20"/>
          <w:bdr w:val="none" w:sz="0" w:space="0" w:color="auto" w:frame="1"/>
          <w:lang w:eastAsia="es-MX"/>
        </w:rPr>
      </w:pPr>
      <w:r w:rsidRPr="00F55BA4">
        <w:rPr>
          <w:rFonts w:ascii="Calibri" w:eastAsia="Times New Roman" w:hAnsi="Calibri" w:cs="Calibri"/>
          <w:color w:val="000000"/>
          <w:sz w:val="20"/>
          <w:szCs w:val="20"/>
          <w:bdr w:val="none" w:sz="0" w:space="0" w:color="auto" w:frame="1"/>
          <w:lang w:eastAsia="es-MX"/>
        </w:rPr>
        <w:t>El sector cultural y artístico en Jalisco, es un referente a nivel nacional e internacional; sin embargo, se enfrenta a una serie de limitantes para la creación y producción de bienes y servicios vinculados a su profesión; entre los que se encuentran, el bajo consumo de bienes y servicios culturales en la población, limitando el alcance y visibilidad de los proyectos. Otro factor importante es la falta de esfuerzos sistemáticos en la etapa de producción, a pesar de los avances en otros ámbitos, todavía son escasos los programas y recursos dirigidos a fortalecer la fase productiva de los bienes y servicios culturales en el estado, dificultando la sostenibilidad y continuidad de los proyectos; adicionalmente, las diversas condiciones socioculturales en las que trabaja el sector cultural y artístico en Jalisco, genera escenarios desiguales que dificultan el desarrollo de procesos de creación y producción artística. </w:t>
      </w:r>
    </w:p>
    <w:p w14:paraId="2C8C9E95" w14:textId="6BD067D4" w:rsidR="00F55BA4" w:rsidRPr="00F55BA4" w:rsidRDefault="00F55BA4" w:rsidP="00F55BA4">
      <w:pPr>
        <w:spacing w:after="0" w:line="240" w:lineRule="auto"/>
        <w:jc w:val="both"/>
        <w:rPr>
          <w:rFonts w:ascii="Dosis" w:eastAsia="Times New Roman" w:hAnsi="Dosis" w:cs="Times New Roman"/>
          <w:color w:val="000000"/>
          <w:sz w:val="20"/>
          <w:szCs w:val="20"/>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r w:rsidRPr="00F55BA4">
        <w:rPr>
          <w:rFonts w:ascii="Calibri" w:eastAsia="Times New Roman" w:hAnsi="Calibri" w:cs="Calibri"/>
          <w:color w:val="000000"/>
          <w:sz w:val="20"/>
          <w:szCs w:val="20"/>
          <w:bdr w:val="none" w:sz="0" w:space="0" w:color="auto" w:frame="1"/>
          <w:lang w:eastAsia="es-MX"/>
        </w:rPr>
        <w:t>El programa tiene por objetivo contribuir a la generación de condiciones favorables para la producción de bienes y servicios culturales y artísticos en el Estado de Jalisco, considerando que las personas que conforman al sector cultural y artístico de Jalisco enfrentan limitaciones al consolidar la producción, continuidad y sostenibilidad de los bienes y servicios vinculados a su quehacer profesional.</w:t>
      </w:r>
    </w:p>
    <w:p w14:paraId="7626C0DB" w14:textId="77777777" w:rsidR="00F55BA4" w:rsidRDefault="00F55BA4" w:rsidP="00F55BA4">
      <w:pPr>
        <w:spacing w:after="0" w:line="240" w:lineRule="auto"/>
        <w:jc w:val="both"/>
        <w:textAlignment w:val="baseline"/>
        <w:rPr>
          <w:rFonts w:ascii="Calibri" w:eastAsia="Times New Roman" w:hAnsi="Calibri" w:cs="Calibri"/>
          <w:color w:val="000000"/>
          <w:sz w:val="20"/>
          <w:szCs w:val="20"/>
          <w:bdr w:val="none" w:sz="0" w:space="0" w:color="auto" w:frame="1"/>
          <w:lang w:eastAsia="es-MX"/>
        </w:rPr>
      </w:pPr>
    </w:p>
    <w:p w14:paraId="29AC80A3" w14:textId="352C0E20" w:rsidR="00F55BA4" w:rsidRPr="00F55BA4" w:rsidRDefault="00F55BA4" w:rsidP="00F55BA4">
      <w:pPr>
        <w:spacing w:after="0" w:line="240" w:lineRule="auto"/>
        <w:jc w:val="both"/>
        <w:textAlignment w:val="baseline"/>
        <w:rPr>
          <w:rFonts w:ascii="Dosis" w:eastAsia="Times New Roman" w:hAnsi="Dosis" w:cs="Times New Roman"/>
          <w:color w:val="000000"/>
          <w:sz w:val="20"/>
          <w:szCs w:val="20"/>
          <w:bdr w:val="none" w:sz="0" w:space="0" w:color="auto" w:frame="1"/>
          <w:lang w:eastAsia="es-MX"/>
        </w:rPr>
      </w:pPr>
      <w:r w:rsidRPr="00F55BA4">
        <w:rPr>
          <w:rFonts w:ascii="Calibri" w:eastAsia="Times New Roman" w:hAnsi="Calibri" w:cs="Calibri"/>
          <w:color w:val="000000"/>
          <w:sz w:val="20"/>
          <w:szCs w:val="20"/>
          <w:bdr w:val="none" w:sz="0" w:space="0" w:color="auto" w:frame="1"/>
          <w:lang w:eastAsia="es-MX"/>
        </w:rPr>
        <w:t>Para atender esta problemática, el Programa se apoya en tres herramientas de intervención: en primer lugar, el fortalecimiento de oportunidades que permiten mejorar la continuidad, el impacto y la proyección de los bienes y servicios culturales generados en Jalisco, favoreciendo sus crecimiento y expansión, en segundo término, el impulso a proyectos culturales y artísticos estrechamente vinculados al ámbito profesional y creativo de las personas beneficiarias, fortaleciendo sus procesos de producción; y finalmente, la promoción de una mayor participación de grupos prioritarios con el propósito de garantizar condiciones de inclusión y asegurar que diversos sectores tengan la posibilidad de contribuir activamente a la producción cultural y artística del Estado.</w:t>
      </w:r>
    </w:p>
    <w:p w14:paraId="12A41ACE" w14:textId="64F2D955" w:rsidR="00F55BA4" w:rsidRPr="00F55BA4" w:rsidRDefault="00F55BA4" w:rsidP="00F55BA4">
      <w:pPr>
        <w:spacing w:after="0" w:line="240" w:lineRule="auto"/>
        <w:jc w:val="both"/>
        <w:rPr>
          <w:rFonts w:ascii="Dosis" w:eastAsia="Times New Roman" w:hAnsi="Dosis" w:cs="Times New Roman"/>
          <w:color w:val="000000"/>
          <w:sz w:val="20"/>
          <w:szCs w:val="20"/>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r w:rsidRPr="00F55BA4">
        <w:rPr>
          <w:rFonts w:ascii="Calibri" w:eastAsia="Times New Roman" w:hAnsi="Calibri" w:cs="Calibri"/>
          <w:b/>
          <w:bCs/>
          <w:color w:val="000000"/>
          <w:sz w:val="20"/>
          <w:szCs w:val="20"/>
          <w:bdr w:val="none" w:sz="0" w:space="0" w:color="auto" w:frame="1"/>
          <w:lang w:eastAsia="es-MX"/>
        </w:rPr>
        <w:t>Magnitud del problema</w:t>
      </w:r>
    </w:p>
    <w:p w14:paraId="22A8D6F8" w14:textId="53888438" w:rsidR="00F55BA4" w:rsidRPr="00F55BA4" w:rsidRDefault="00F55BA4" w:rsidP="00F55BA4">
      <w:pPr>
        <w:spacing w:after="0" w:line="240" w:lineRule="auto"/>
        <w:jc w:val="both"/>
        <w:rPr>
          <w:rFonts w:ascii="Dosis" w:eastAsia="Times New Roman" w:hAnsi="Dosis" w:cs="Times New Roman"/>
          <w:color w:val="000000"/>
          <w:sz w:val="20"/>
          <w:szCs w:val="20"/>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r w:rsidRPr="00F55BA4">
        <w:rPr>
          <w:rFonts w:ascii="Calibri" w:eastAsia="Times New Roman" w:hAnsi="Calibri" w:cs="Calibri"/>
          <w:color w:val="000000"/>
          <w:sz w:val="20"/>
          <w:szCs w:val="20"/>
          <w:bdr w:val="none" w:sz="0" w:space="0" w:color="auto" w:frame="1"/>
          <w:lang w:eastAsia="es-MX"/>
        </w:rPr>
        <w:t>Con base a las fuentes estadísticas oficiales, se provee de información cuantitativa para dimensionar la magnitud y el comportamiento del problema identificado en el sector cultural y artístico de Jalisco. </w:t>
      </w:r>
    </w:p>
    <w:p w14:paraId="424BA3BD" w14:textId="3745393A" w:rsidR="00F55BA4" w:rsidRPr="00F55BA4" w:rsidRDefault="00F55BA4" w:rsidP="00F55BA4">
      <w:pPr>
        <w:spacing w:after="0" w:line="240" w:lineRule="auto"/>
        <w:jc w:val="both"/>
        <w:rPr>
          <w:rFonts w:ascii="Dosis" w:eastAsia="Times New Roman" w:hAnsi="Dosis" w:cs="Times New Roman"/>
          <w:color w:val="000000"/>
          <w:sz w:val="20"/>
          <w:szCs w:val="20"/>
          <w:bdr w:val="none" w:sz="0" w:space="0" w:color="auto" w:frame="1"/>
          <w:lang w:eastAsia="es-MX"/>
        </w:rPr>
      </w:pPr>
    </w:p>
    <w:p w14:paraId="6AD5539D" w14:textId="77777777" w:rsidR="00F55BA4" w:rsidRPr="00F55BA4" w:rsidRDefault="00F55BA4" w:rsidP="00F55BA4">
      <w:pPr>
        <w:spacing w:after="0" w:line="240" w:lineRule="auto"/>
        <w:jc w:val="both"/>
        <w:textAlignment w:val="baseline"/>
        <w:rPr>
          <w:rFonts w:ascii="Dosis" w:eastAsia="Times New Roman" w:hAnsi="Dosis" w:cs="Times New Roman"/>
          <w:color w:val="000000"/>
          <w:sz w:val="20"/>
          <w:szCs w:val="20"/>
          <w:bdr w:val="none" w:sz="0" w:space="0" w:color="auto" w:frame="1"/>
          <w:lang w:eastAsia="es-MX"/>
        </w:rPr>
      </w:pPr>
      <w:r w:rsidRPr="00F55BA4">
        <w:rPr>
          <w:rFonts w:ascii="Calibri" w:eastAsia="Times New Roman" w:hAnsi="Calibri" w:cs="Calibri"/>
          <w:color w:val="000000"/>
          <w:sz w:val="20"/>
          <w:szCs w:val="20"/>
          <w:bdr w:val="none" w:sz="0" w:space="0" w:color="auto" w:frame="1"/>
          <w:lang w:eastAsia="es-MX"/>
        </w:rPr>
        <w:t>El consumo de la población en bienes y servicios culturales no contempla las producciones y proyectos jaliscienses de forma prioritaria.</w:t>
      </w:r>
    </w:p>
    <w:p w14:paraId="2B218880" w14:textId="77777777" w:rsidR="00F55BA4" w:rsidRDefault="00F55BA4" w:rsidP="00F55BA4">
      <w:pPr>
        <w:spacing w:after="0" w:line="240" w:lineRule="auto"/>
        <w:jc w:val="both"/>
        <w:textAlignment w:val="baseline"/>
        <w:rPr>
          <w:rFonts w:ascii="Calibri" w:eastAsia="Times New Roman" w:hAnsi="Calibri" w:cs="Calibri"/>
          <w:color w:val="000000"/>
          <w:sz w:val="20"/>
          <w:szCs w:val="20"/>
          <w:bdr w:val="none" w:sz="0" w:space="0" w:color="auto" w:frame="1"/>
          <w:lang w:eastAsia="es-MX"/>
        </w:rPr>
      </w:pPr>
    </w:p>
    <w:p w14:paraId="14F59298" w14:textId="75B13A96" w:rsidR="00F55BA4" w:rsidRPr="00F55BA4" w:rsidRDefault="00F55BA4" w:rsidP="00F55BA4">
      <w:pPr>
        <w:spacing w:after="0" w:line="240" w:lineRule="auto"/>
        <w:jc w:val="both"/>
        <w:textAlignment w:val="baseline"/>
        <w:rPr>
          <w:rFonts w:ascii="Dosis" w:eastAsia="Times New Roman" w:hAnsi="Dosis" w:cs="Times New Roman"/>
          <w:color w:val="000000"/>
          <w:sz w:val="20"/>
          <w:szCs w:val="20"/>
          <w:bdr w:val="none" w:sz="0" w:space="0" w:color="auto" w:frame="1"/>
          <w:lang w:eastAsia="es-MX"/>
        </w:rPr>
      </w:pPr>
      <w:r w:rsidRPr="00F55BA4">
        <w:rPr>
          <w:rFonts w:ascii="Calibri" w:eastAsia="Times New Roman" w:hAnsi="Calibri" w:cs="Calibri"/>
          <w:color w:val="000000"/>
          <w:sz w:val="20"/>
          <w:szCs w:val="20"/>
          <w:bdr w:val="none" w:sz="0" w:space="0" w:color="auto" w:frame="1"/>
          <w:lang w:eastAsia="es-MX"/>
        </w:rPr>
        <w:t>La proporción del gasto total que se destina en los hogares al consumo de bienes y servicios culturales y artísticos en los hogares jaliscienses, según la Encuesta Nacional de Ingresos y Gastos en los Hogares (ENIGH), para 2022 fue del 8.45%, y para 2024, el porcentaje aumentó a 9.85%, sin embargo, sigue representando un bajo porcentaje considerando que Jalisco es un Estado representativo de la cultura en el país. Dentro de los rubros de gasto se encuentran visitas a museos, teatros y conciertos, libros, revistas, cine, artículos de esparcimiento, entre otros. </w:t>
      </w:r>
    </w:p>
    <w:p w14:paraId="696781DA" w14:textId="407E61A7" w:rsidR="00F55BA4" w:rsidRPr="00F55BA4" w:rsidRDefault="00F55BA4" w:rsidP="00F55BA4">
      <w:pPr>
        <w:spacing w:after="0" w:line="240" w:lineRule="auto"/>
        <w:jc w:val="both"/>
        <w:rPr>
          <w:rFonts w:ascii="Dosis" w:eastAsia="Times New Roman" w:hAnsi="Dosis" w:cs="Times New Roman"/>
          <w:color w:val="000000"/>
          <w:sz w:val="20"/>
          <w:szCs w:val="20"/>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r w:rsidRPr="00F55BA4">
        <w:rPr>
          <w:rFonts w:ascii="Calibri" w:eastAsia="Times New Roman" w:hAnsi="Calibri" w:cs="Calibri"/>
          <w:color w:val="000000"/>
          <w:sz w:val="20"/>
          <w:szCs w:val="20"/>
          <w:bdr w:val="none" w:sz="0" w:space="0" w:color="auto" w:frame="1"/>
          <w:lang w:eastAsia="es-MX"/>
        </w:rPr>
        <w:t>Las oportunidades de acceso a la cultura y a la formación artística son limitadas en los municipios que no son del Área Metropolitana de Guadalajara (AMG) y, por tanto, el consumo de la oferta cultural es más bajo conforme el tamaño de la población. La población que habita en localidades con más de 100,000 habitantes invierte 3 veces más en arte y en cultura que quienes habitan en localidades con menos de 2,500 habitantes (ENIGH, 2022).  Existen pocos esfuerzos sistemáticos para fortalecer al sector cultural y artístico en la etapa de producción de bienes y servicios culturales.  </w:t>
      </w:r>
    </w:p>
    <w:p w14:paraId="42ED83C1" w14:textId="77777777" w:rsidR="00F55BA4" w:rsidRPr="00F55BA4" w:rsidRDefault="00F55BA4" w:rsidP="00F55BA4">
      <w:pPr>
        <w:spacing w:after="0" w:line="240" w:lineRule="auto"/>
        <w:jc w:val="both"/>
        <w:rPr>
          <w:rFonts w:ascii="Dosis" w:eastAsia="Times New Roman" w:hAnsi="Dosis" w:cs="Times New Roman"/>
          <w:color w:val="000000"/>
          <w:sz w:val="20"/>
          <w:szCs w:val="20"/>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p>
    <w:p w14:paraId="2CE44ABF" w14:textId="77777777" w:rsidR="00F55BA4" w:rsidRPr="00F55BA4" w:rsidRDefault="00F55BA4" w:rsidP="00F55BA4">
      <w:pPr>
        <w:spacing w:after="0" w:line="240" w:lineRule="auto"/>
        <w:jc w:val="both"/>
        <w:textAlignment w:val="baseline"/>
        <w:rPr>
          <w:rFonts w:ascii="Dosis" w:eastAsia="Times New Roman" w:hAnsi="Dosis" w:cs="Times New Roman"/>
          <w:color w:val="000000"/>
          <w:sz w:val="20"/>
          <w:szCs w:val="20"/>
          <w:bdr w:val="none" w:sz="0" w:space="0" w:color="auto" w:frame="1"/>
          <w:lang w:eastAsia="es-MX"/>
        </w:rPr>
      </w:pPr>
      <w:r w:rsidRPr="00F55BA4">
        <w:rPr>
          <w:rFonts w:ascii="Calibri" w:eastAsia="Times New Roman" w:hAnsi="Calibri" w:cs="Calibri"/>
          <w:color w:val="000000"/>
          <w:sz w:val="20"/>
          <w:szCs w:val="20"/>
          <w:bdr w:val="none" w:sz="0" w:space="0" w:color="auto" w:frame="1"/>
          <w:lang w:eastAsia="es-MX"/>
        </w:rPr>
        <w:lastRenderedPageBreak/>
        <w:t>Las condiciones sociodemográficas y distintas intersecciones de las personas que conforman al sector cultural y artístico de Jalisco delimitan su producción artística. </w:t>
      </w:r>
    </w:p>
    <w:p w14:paraId="1EF72906" w14:textId="4B7524A0" w:rsidR="00F55BA4" w:rsidRPr="00F55BA4" w:rsidRDefault="00F55BA4" w:rsidP="00F55BA4">
      <w:pPr>
        <w:spacing w:after="0" w:line="240" w:lineRule="auto"/>
        <w:jc w:val="both"/>
        <w:rPr>
          <w:rFonts w:ascii="Dosis" w:eastAsia="Times New Roman" w:hAnsi="Dosis" w:cs="Times New Roman"/>
          <w:color w:val="000000"/>
          <w:sz w:val="20"/>
          <w:szCs w:val="20"/>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r w:rsidRPr="00F55BA4">
        <w:rPr>
          <w:rFonts w:ascii="Calibri" w:eastAsia="Times New Roman" w:hAnsi="Calibri" w:cs="Calibri"/>
          <w:color w:val="000000"/>
          <w:sz w:val="20"/>
          <w:szCs w:val="20"/>
          <w:bdr w:val="none" w:sz="0" w:space="0" w:color="auto" w:frame="1"/>
          <w:lang w:eastAsia="es-MX"/>
        </w:rPr>
        <w:t>De acuerdo con los datos obtenidos de la Encuesta Nacional de Ocupación y Empleo (ENOE), implementada por el Instituto Nacional de Estadística y Geografía (INEGI), en el segundo trimestre de 2025, en Jalisco se cuenta con 56,586 personas que pertenecen al sector cultural y artístico, las cuales enfrentan diversas limitaciones para generar producciones y proyectos relacionadas con su profesión. De este total, el 68% corresponde a hombres y el 32% a mujeres, lo que evidencia una participación diferenciada por sexo dentro del sector.</w:t>
      </w:r>
    </w:p>
    <w:p w14:paraId="55FDEF3C" w14:textId="680AE99C" w:rsidR="00F55BA4" w:rsidRPr="00F55BA4" w:rsidRDefault="00F55BA4" w:rsidP="00F55BA4">
      <w:pPr>
        <w:spacing w:after="0" w:line="240" w:lineRule="auto"/>
        <w:jc w:val="both"/>
        <w:rPr>
          <w:rFonts w:ascii="Dosis" w:eastAsia="Times New Roman" w:hAnsi="Dosis" w:cs="Times New Roman"/>
          <w:color w:val="000000"/>
          <w:sz w:val="23"/>
          <w:szCs w:val="23"/>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r w:rsidRPr="00F55BA4">
        <w:rPr>
          <w:rFonts w:ascii="Calibri" w:eastAsia="Times New Roman" w:hAnsi="Calibri" w:cs="Calibri"/>
          <w:color w:val="000000"/>
          <w:sz w:val="20"/>
          <w:szCs w:val="20"/>
          <w:bdr w:val="none" w:sz="0" w:space="0" w:color="auto" w:frame="1"/>
          <w:lang w:eastAsia="es-MX"/>
        </w:rPr>
        <w:t>En este contexto, la brecha de género no sólo se refleja en la menor participación porcentual de mujeres dentro del sector (32%), sino también en una probable mayor vulnerabilidad económica relativa, lo que puede limitar aún más sus posibilidades de financiar traslados para atender invitaciones profesionales fuera de su lugar de residencia.</w:t>
      </w:r>
    </w:p>
    <w:p w14:paraId="4F79F51B" w14:textId="70C09FE2" w:rsidR="00F55BA4" w:rsidRPr="00F55BA4" w:rsidRDefault="00F55BA4" w:rsidP="00F55BA4">
      <w:pPr>
        <w:spacing w:after="0" w:line="240" w:lineRule="auto"/>
        <w:jc w:val="both"/>
        <w:textAlignment w:val="baseline"/>
        <w:rPr>
          <w:rFonts w:ascii="Dosis" w:eastAsia="Times New Roman" w:hAnsi="Dosis" w:cs="Times New Roman"/>
          <w:color w:val="000000"/>
          <w:sz w:val="20"/>
          <w:szCs w:val="20"/>
          <w:bdr w:val="none" w:sz="0" w:space="0" w:color="auto" w:frame="1"/>
          <w:lang w:eastAsia="es-MX"/>
        </w:rPr>
      </w:pPr>
      <w:r w:rsidRPr="00F55BA4">
        <w:rPr>
          <w:rFonts w:ascii="Calibri" w:eastAsia="Times New Roman" w:hAnsi="Calibri" w:cs="Calibri"/>
          <w:color w:val="000000"/>
          <w:sz w:val="24"/>
          <w:szCs w:val="24"/>
          <w:bdr w:val="none" w:sz="0" w:space="0" w:color="auto" w:frame="1"/>
          <w:lang w:eastAsia="es-MX"/>
        </w:rPr>
        <w:br/>
      </w:r>
      <w:r w:rsidRPr="00F55BA4">
        <w:rPr>
          <w:rFonts w:ascii="Calibri" w:eastAsia="Times New Roman" w:hAnsi="Calibri" w:cs="Calibri"/>
          <w:color w:val="000000"/>
          <w:sz w:val="20"/>
          <w:szCs w:val="20"/>
          <w:bdr w:val="none" w:sz="0" w:space="0" w:color="auto" w:frame="1"/>
          <w:lang w:eastAsia="es-MX"/>
        </w:rPr>
        <w:t>Una proporción significativa de las personas profesionales del sector cultural y artístico enfrenta condiciones de precariedad económica. Esto indica que una parte considerable de la población dedicada a las artes y la cultura no obtiene los ingresos mínimos para satisfacer sus necesidades básicas mensuales. De acuerdo con los datos generados de la Encuesta Nacional de Ocupación y Empleo (ENOE), para el periodo de análisis del segundo trimestre de 2025, el ingreso promedio de la población ocupada en Jalisco que pertenece al sector cultural artístico fue de $3,305.00, lo que significó una disminución del 43% con respecto al año anterior. </w:t>
      </w:r>
    </w:p>
    <w:p w14:paraId="4B7F986E" w14:textId="77777777" w:rsidR="00F55BA4" w:rsidRDefault="00F55BA4" w:rsidP="00F55BA4">
      <w:pPr>
        <w:spacing w:after="0" w:line="240" w:lineRule="auto"/>
        <w:jc w:val="both"/>
        <w:textAlignment w:val="baseline"/>
        <w:rPr>
          <w:rFonts w:ascii="Calibri" w:eastAsia="Times New Roman" w:hAnsi="Calibri" w:cs="Calibri"/>
          <w:color w:val="000000"/>
          <w:sz w:val="20"/>
          <w:szCs w:val="20"/>
          <w:bdr w:val="none" w:sz="0" w:space="0" w:color="auto" w:frame="1"/>
          <w:lang w:eastAsia="es-MX"/>
        </w:rPr>
      </w:pPr>
    </w:p>
    <w:p w14:paraId="14BCF915" w14:textId="28C2929F" w:rsidR="00F55BA4" w:rsidRPr="00F55BA4" w:rsidRDefault="00F55BA4" w:rsidP="00F55BA4">
      <w:pPr>
        <w:spacing w:after="0" w:line="240" w:lineRule="auto"/>
        <w:jc w:val="both"/>
        <w:textAlignment w:val="baseline"/>
        <w:rPr>
          <w:rFonts w:ascii="Dosis" w:eastAsia="Times New Roman" w:hAnsi="Dosis" w:cs="Times New Roman"/>
          <w:color w:val="000000"/>
          <w:sz w:val="20"/>
          <w:szCs w:val="20"/>
          <w:bdr w:val="none" w:sz="0" w:space="0" w:color="auto" w:frame="1"/>
          <w:lang w:eastAsia="es-MX"/>
        </w:rPr>
      </w:pPr>
      <w:r w:rsidRPr="00F55BA4">
        <w:rPr>
          <w:rFonts w:ascii="Calibri" w:eastAsia="Times New Roman" w:hAnsi="Calibri" w:cs="Calibri"/>
          <w:color w:val="000000"/>
          <w:sz w:val="20"/>
          <w:szCs w:val="20"/>
          <w:bdr w:val="none" w:sz="0" w:space="0" w:color="auto" w:frame="1"/>
          <w:lang w:eastAsia="es-MX"/>
        </w:rPr>
        <w:t>Los ingresos de los profesionales de la cultura y las artes también varían en función del nivel educativo. En Jalisco, 30,013 personas del sector cuentan con al menos 13 años de escolaridad, el 2.20% del total cuentan con el mayor número de años cursados, que corresponde a 18 años.</w:t>
      </w:r>
    </w:p>
    <w:p w14:paraId="33225446" w14:textId="77777777" w:rsidR="00F55BA4" w:rsidRDefault="00F55BA4" w:rsidP="00F55BA4">
      <w:pPr>
        <w:spacing w:after="0" w:line="240" w:lineRule="auto"/>
        <w:jc w:val="both"/>
        <w:textAlignment w:val="baseline"/>
        <w:rPr>
          <w:rFonts w:ascii="Calibri" w:eastAsia="Times New Roman" w:hAnsi="Calibri" w:cs="Calibri"/>
          <w:color w:val="000000"/>
          <w:sz w:val="20"/>
          <w:szCs w:val="20"/>
          <w:bdr w:val="none" w:sz="0" w:space="0" w:color="auto" w:frame="1"/>
          <w:lang w:eastAsia="es-MX"/>
        </w:rPr>
      </w:pPr>
    </w:p>
    <w:p w14:paraId="30AC602A" w14:textId="7907966A" w:rsidR="00F55BA4" w:rsidRPr="00F55BA4" w:rsidRDefault="00F55BA4" w:rsidP="00F55BA4">
      <w:pPr>
        <w:spacing w:after="0" w:line="240" w:lineRule="auto"/>
        <w:jc w:val="both"/>
        <w:textAlignment w:val="baseline"/>
        <w:rPr>
          <w:rFonts w:ascii="Dosis" w:eastAsia="Times New Roman" w:hAnsi="Dosis" w:cs="Times New Roman"/>
          <w:color w:val="000000"/>
          <w:sz w:val="20"/>
          <w:szCs w:val="20"/>
          <w:bdr w:val="none" w:sz="0" w:space="0" w:color="auto" w:frame="1"/>
          <w:lang w:eastAsia="es-MX"/>
        </w:rPr>
      </w:pPr>
      <w:r w:rsidRPr="00F55BA4">
        <w:rPr>
          <w:rFonts w:ascii="Calibri" w:eastAsia="Times New Roman" w:hAnsi="Calibri" w:cs="Calibri"/>
          <w:color w:val="000000"/>
          <w:sz w:val="20"/>
          <w:szCs w:val="20"/>
          <w:bdr w:val="none" w:sz="0" w:space="0" w:color="auto" w:frame="1"/>
          <w:lang w:eastAsia="es-MX"/>
        </w:rPr>
        <w:t>Una vez expuesta la magnitud del problema, se identifica que el Programa Proyecta Producción busca atender a las 41,165 personas que representan el 73% del sector cultural y artístico de Jalisco que obtienen ingresos por debajo del promedio mencionado anteriormente incorporando una perspectiva de equidad dentro de los criterios de priorización, que permita reducir las barreras económicas diferenciadas que enfrentan mujeres y hombres.</w:t>
      </w:r>
    </w:p>
    <w:p w14:paraId="60367EB9" w14:textId="793A9A65" w:rsidR="00F55BA4" w:rsidRPr="00F55BA4" w:rsidRDefault="00F55BA4" w:rsidP="00F55BA4">
      <w:pPr>
        <w:spacing w:after="0" w:line="240" w:lineRule="auto"/>
        <w:jc w:val="both"/>
        <w:rPr>
          <w:rFonts w:ascii="Dosis" w:eastAsia="Times New Roman" w:hAnsi="Dosis" w:cs="Times New Roman"/>
          <w:color w:val="000000"/>
          <w:sz w:val="20"/>
          <w:szCs w:val="20"/>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r w:rsidRPr="00F55BA4">
        <w:rPr>
          <w:rFonts w:ascii="Calibri" w:eastAsia="Times New Roman" w:hAnsi="Calibri" w:cs="Calibri"/>
          <w:b/>
          <w:bCs/>
          <w:color w:val="000000"/>
          <w:sz w:val="20"/>
          <w:szCs w:val="20"/>
          <w:bdr w:val="none" w:sz="0" w:space="0" w:color="auto" w:frame="1"/>
          <w:lang w:eastAsia="es-MX"/>
        </w:rPr>
        <w:t>Árbol de problemas.</w:t>
      </w:r>
    </w:p>
    <w:p w14:paraId="46B7AFAB" w14:textId="7787C533" w:rsidR="00F55BA4" w:rsidRPr="00F55BA4" w:rsidRDefault="00F55BA4" w:rsidP="00F55BA4">
      <w:pPr>
        <w:spacing w:after="0" w:line="240" w:lineRule="auto"/>
        <w:jc w:val="both"/>
        <w:rPr>
          <w:rFonts w:ascii="Dosis" w:eastAsia="Times New Roman" w:hAnsi="Dosis" w:cs="Times New Roman"/>
          <w:color w:val="000000"/>
          <w:sz w:val="20"/>
          <w:szCs w:val="20"/>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r w:rsidRPr="00F55BA4">
        <w:rPr>
          <w:rFonts w:ascii="Calibri" w:eastAsia="Times New Roman" w:hAnsi="Calibri" w:cs="Calibri"/>
          <w:color w:val="000000"/>
          <w:sz w:val="20"/>
          <w:szCs w:val="20"/>
          <w:bdr w:val="none" w:sz="0" w:space="0" w:color="auto" w:frame="1"/>
          <w:lang w:eastAsia="es-MX"/>
        </w:rPr>
        <w:t>El sector cultural y artístico en Jalisco enfrenta diversos desafíos que limitan su crecimiento y sostenibilidad. Entre ellos, la falta de financiamiento, la precariedad laboral y el acceso limitado a incentivos fiscales, lo que dificulta la producción y difusión del arte, afectando tanto a creadores como a la oferta cultural disponible para la comunidad.</w:t>
      </w:r>
    </w:p>
    <w:p w14:paraId="0FDB1475" w14:textId="0ED308C4" w:rsidR="00F55BA4" w:rsidRDefault="00F55BA4" w:rsidP="00F55BA4">
      <w:pPr>
        <w:spacing w:after="240" w:line="240" w:lineRule="auto"/>
        <w:jc w:val="both"/>
        <w:rPr>
          <w:rFonts w:ascii="Dosis" w:eastAsia="Times New Roman" w:hAnsi="Dosis" w:cs="Times New Roman"/>
          <w:color w:val="000000"/>
          <w:sz w:val="20"/>
          <w:szCs w:val="20"/>
          <w:bdr w:val="none" w:sz="0" w:space="0" w:color="auto" w:frame="1"/>
          <w:lang w:eastAsia="es-MX"/>
        </w:rPr>
      </w:pPr>
      <w:r w:rsidRPr="00F55BA4">
        <w:rPr>
          <w:rFonts w:ascii="Dosis" w:eastAsia="Times New Roman" w:hAnsi="Dosis" w:cs="Times New Roman"/>
          <w:color w:val="000000"/>
          <w:sz w:val="20"/>
          <w:szCs w:val="20"/>
          <w:bdr w:val="none" w:sz="0" w:space="0" w:color="auto" w:frame="1"/>
          <w:lang w:eastAsia="es-MX"/>
        </w:rPr>
        <w:br/>
      </w:r>
    </w:p>
    <w:p w14:paraId="5103F37C" w14:textId="1FA0C34D" w:rsidR="00F55BA4" w:rsidRDefault="00F55BA4" w:rsidP="00F55BA4">
      <w:pPr>
        <w:spacing w:after="240" w:line="240" w:lineRule="auto"/>
        <w:rPr>
          <w:rFonts w:ascii="Dosis" w:eastAsia="Times New Roman" w:hAnsi="Dosis" w:cs="Times New Roman"/>
          <w:color w:val="000000"/>
          <w:sz w:val="20"/>
          <w:szCs w:val="20"/>
          <w:bdr w:val="none" w:sz="0" w:space="0" w:color="auto" w:frame="1"/>
          <w:lang w:eastAsia="es-MX"/>
        </w:rPr>
      </w:pPr>
    </w:p>
    <w:p w14:paraId="75711FFC" w14:textId="0FE4FD89" w:rsidR="00F55BA4" w:rsidRDefault="00F55BA4" w:rsidP="00F55BA4">
      <w:pPr>
        <w:spacing w:after="240" w:line="240" w:lineRule="auto"/>
        <w:rPr>
          <w:rFonts w:ascii="Dosis" w:eastAsia="Times New Roman" w:hAnsi="Dosis" w:cs="Times New Roman"/>
          <w:color w:val="000000"/>
          <w:sz w:val="20"/>
          <w:szCs w:val="20"/>
          <w:bdr w:val="none" w:sz="0" w:space="0" w:color="auto" w:frame="1"/>
          <w:lang w:eastAsia="es-MX"/>
        </w:rPr>
      </w:pPr>
    </w:p>
    <w:p w14:paraId="5EDF3554" w14:textId="340DB913" w:rsidR="00F55BA4" w:rsidRDefault="00F55BA4" w:rsidP="00F55BA4">
      <w:pPr>
        <w:spacing w:after="240" w:line="240" w:lineRule="auto"/>
        <w:rPr>
          <w:rFonts w:ascii="Dosis" w:eastAsia="Times New Roman" w:hAnsi="Dosis" w:cs="Times New Roman"/>
          <w:color w:val="000000"/>
          <w:sz w:val="20"/>
          <w:szCs w:val="20"/>
          <w:bdr w:val="none" w:sz="0" w:space="0" w:color="auto" w:frame="1"/>
          <w:lang w:eastAsia="es-MX"/>
        </w:rPr>
      </w:pPr>
    </w:p>
    <w:p w14:paraId="0D81D46A" w14:textId="48BE9710" w:rsidR="00F55BA4" w:rsidRDefault="00F55BA4" w:rsidP="00F55BA4">
      <w:pPr>
        <w:spacing w:after="240" w:line="240" w:lineRule="auto"/>
        <w:rPr>
          <w:rFonts w:ascii="Dosis" w:eastAsia="Times New Roman" w:hAnsi="Dosis" w:cs="Times New Roman"/>
          <w:color w:val="000000"/>
          <w:sz w:val="20"/>
          <w:szCs w:val="20"/>
          <w:bdr w:val="none" w:sz="0" w:space="0" w:color="auto" w:frame="1"/>
          <w:lang w:eastAsia="es-MX"/>
        </w:rPr>
      </w:pPr>
    </w:p>
    <w:tbl>
      <w:tblPr>
        <w:tblW w:w="9265" w:type="dxa"/>
        <w:tblCellMar>
          <w:left w:w="0" w:type="dxa"/>
          <w:right w:w="0" w:type="dxa"/>
        </w:tblCellMar>
        <w:tblLook w:val="04A0" w:firstRow="1" w:lastRow="0" w:firstColumn="1" w:lastColumn="0" w:noHBand="0" w:noVBand="1"/>
      </w:tblPr>
      <w:tblGrid>
        <w:gridCol w:w="195"/>
        <w:gridCol w:w="1082"/>
        <w:gridCol w:w="195"/>
        <w:gridCol w:w="769"/>
        <w:gridCol w:w="1116"/>
        <w:gridCol w:w="350"/>
        <w:gridCol w:w="330"/>
        <w:gridCol w:w="1361"/>
        <w:gridCol w:w="596"/>
        <w:gridCol w:w="214"/>
        <w:gridCol w:w="214"/>
        <w:gridCol w:w="1343"/>
        <w:gridCol w:w="998"/>
        <w:gridCol w:w="307"/>
        <w:gridCol w:w="184"/>
        <w:gridCol w:w="11"/>
      </w:tblGrid>
      <w:tr w:rsidR="00F55BA4" w:rsidRPr="00F55BA4" w14:paraId="44E7FC1A" w14:textId="77777777" w:rsidTr="00F55BA4">
        <w:trPr>
          <w:gridAfter w:val="1"/>
          <w:trHeight w:val="649"/>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62AC7E1B" w14:textId="77777777" w:rsidR="00F55BA4" w:rsidRPr="00F55BA4" w:rsidRDefault="00F55BA4" w:rsidP="00F55BA4">
            <w:pPr>
              <w:spacing w:after="0" w:line="240" w:lineRule="auto"/>
              <w:rPr>
                <w:rFonts w:ascii="Roboto Condensed" w:eastAsia="Times New Roman" w:hAnsi="Roboto Condensed" w:cs="Times New Roman"/>
                <w:sz w:val="24"/>
                <w:szCs w:val="24"/>
                <w:lang w:eastAsia="es-MX"/>
              </w:rPr>
            </w:pPr>
            <w:r w:rsidRPr="00F55BA4">
              <w:rPr>
                <w:rFonts w:ascii="Roboto Condensed" w:eastAsia="Times New Roman" w:hAnsi="Roboto Condensed" w:cs="Times New Roman"/>
                <w:sz w:val="24"/>
                <w:szCs w:val="24"/>
                <w:lang w:eastAsia="es-MX"/>
              </w:rPr>
              <w:br/>
            </w:r>
            <w:r w:rsidRPr="00F55BA4">
              <w:rPr>
                <w:rFonts w:ascii="Roboto Condensed" w:eastAsia="Times New Roman" w:hAnsi="Roboto Condensed" w:cs="Times New Roman"/>
                <w:sz w:val="24"/>
                <w:szCs w:val="24"/>
                <w:lang w:eastAsia="es-MX"/>
              </w:rPr>
              <w:br/>
            </w:r>
            <w:r w:rsidRPr="00F55BA4">
              <w:rPr>
                <w:rFonts w:ascii="Roboto Condensed" w:eastAsia="Times New Roman" w:hAnsi="Roboto Condensed" w:cs="Times New Roman"/>
                <w:sz w:val="24"/>
                <w:szCs w:val="24"/>
                <w:lang w:eastAsia="es-MX"/>
              </w:rPr>
              <w:br/>
            </w:r>
          </w:p>
          <w:p w14:paraId="0E6EB51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482600AE"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4F4FE6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75D1BF63" w14:textId="77777777" w:rsidR="00F55BA4" w:rsidRPr="00F55BA4" w:rsidRDefault="00F55BA4" w:rsidP="00F55BA4">
            <w:pPr>
              <w:spacing w:after="0" w:line="240" w:lineRule="auto"/>
              <w:rPr>
                <w:rFonts w:ascii="Roboto Condensed" w:eastAsia="Times New Roman" w:hAnsi="Roboto Condensed" w:cs="Times New Roman"/>
                <w:sz w:val="24"/>
                <w:szCs w:val="24"/>
                <w:lang w:eastAsia="es-MX"/>
              </w:rPr>
            </w:pP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0AA83BD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730D73B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661CF29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7F92A2C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377BA10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1CDD89B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79FA360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p w14:paraId="0EF8B6D8" w14:textId="77777777" w:rsidR="00F55BA4" w:rsidRPr="00F55BA4" w:rsidRDefault="00F55BA4" w:rsidP="00F55BA4">
            <w:pPr>
              <w:spacing w:after="240" w:line="240" w:lineRule="auto"/>
              <w:rPr>
                <w:rFonts w:ascii="Roboto Condensed" w:eastAsia="Times New Roman" w:hAnsi="Roboto Condensed" w:cs="Times New Roman"/>
                <w:sz w:val="24"/>
                <w:szCs w:val="24"/>
                <w:lang w:eastAsia="es-MX"/>
              </w:rPr>
            </w:pP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768B246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53007C8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54B528B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r>
      <w:tr w:rsidR="00F55BA4" w:rsidRPr="00F55BA4" w14:paraId="09396CA1" w14:textId="77777777" w:rsidTr="00F55BA4">
        <w:trPr>
          <w:trHeight w:val="629"/>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2BF427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lastRenderedPageBreak/>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4E64D074"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bottom"/>
            <w:hideMark/>
          </w:tcPr>
          <w:p w14:paraId="0C9DBF1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11"/>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1AB8C41A"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Debilitamiento de la economía cultural y pérdida de identidad artística en Jalisco</w:t>
            </w:r>
          </w:p>
        </w:tc>
        <w:tc>
          <w:tcPr>
            <w:tcW w:w="0" w:type="auto"/>
            <w:gridSpan w:val="2"/>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3D47DEC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r>
      <w:tr w:rsidR="00F55BA4" w:rsidRPr="00F55BA4" w14:paraId="585168D3" w14:textId="77777777" w:rsidTr="00F55BA4">
        <w:trPr>
          <w:trHeight w:val="268"/>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B09202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28232C78"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686DC95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56D1EEF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4EC943D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1A3C34D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12C5177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2E2222D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6EA09B6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bottom"/>
            <w:hideMark/>
          </w:tcPr>
          <w:p w14:paraId="2276A8D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3D37311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09623C8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18B901B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0C83172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1C1B246F"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22094E35" w14:textId="77777777" w:rsidTr="00F55BA4">
        <w:trPr>
          <w:trHeight w:val="281"/>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462F50D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203C9741"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4F8361F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E523A4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33920E0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5302B5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23FB361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775704D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6062A3C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4332995C"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0732268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29FBF2AA"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4199286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nil"/>
              <w:right w:val="nil"/>
            </w:tcBorders>
            <w:shd w:val="clear" w:color="auto" w:fill="FFFFFF"/>
            <w:tcMar>
              <w:top w:w="0" w:type="dxa"/>
              <w:left w:w="70" w:type="dxa"/>
              <w:bottom w:w="0" w:type="dxa"/>
              <w:right w:w="70" w:type="dxa"/>
            </w:tcMar>
            <w:vAlign w:val="bottom"/>
            <w:hideMark/>
          </w:tcPr>
          <w:p w14:paraId="2BAF6CD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03EFCFF3"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5FE661E3" w14:textId="77777777" w:rsidTr="00F55BA4">
        <w:trPr>
          <w:trHeight w:val="281"/>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5A0A122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4F686120"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262F07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58B048B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7DE290E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77DF15B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4450CEB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single" w:sz="8" w:space="0" w:color="auto"/>
              <w:right w:val="nil"/>
            </w:tcBorders>
            <w:shd w:val="clear" w:color="auto" w:fill="FFFFFF"/>
            <w:tcMar>
              <w:top w:w="0" w:type="dxa"/>
              <w:left w:w="70" w:type="dxa"/>
              <w:bottom w:w="0" w:type="dxa"/>
              <w:right w:w="70" w:type="dxa"/>
            </w:tcMar>
            <w:vAlign w:val="bottom"/>
            <w:hideMark/>
          </w:tcPr>
          <w:p w14:paraId="6B1830F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single" w:sz="8" w:space="0" w:color="auto"/>
              <w:right w:val="nil"/>
            </w:tcBorders>
            <w:shd w:val="clear" w:color="auto" w:fill="FFFFFF"/>
            <w:tcMar>
              <w:top w:w="0" w:type="dxa"/>
              <w:left w:w="70" w:type="dxa"/>
              <w:bottom w:w="0" w:type="dxa"/>
              <w:right w:w="70" w:type="dxa"/>
            </w:tcMar>
            <w:vAlign w:val="bottom"/>
            <w:hideMark/>
          </w:tcPr>
          <w:p w14:paraId="1A1AE9F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158F77B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3BF1458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320645C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35AEEFE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1336554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2671340B"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4F3E011B" w14:textId="77777777" w:rsidTr="00F55BA4">
        <w:trPr>
          <w:trHeight w:val="742"/>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24461DC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30F12CBE"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2F4E398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bottom"/>
            <w:hideMark/>
          </w:tcPr>
          <w:p w14:paraId="67010AD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4"/>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E08BE8E"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Reducción en el impacto cultural y económico en la región</w:t>
            </w:r>
          </w:p>
        </w:tc>
        <w:tc>
          <w:tcPr>
            <w:tcW w:w="0" w:type="auto"/>
            <w:tcBorders>
              <w:top w:val="nil"/>
              <w:left w:val="single" w:sz="8" w:space="0" w:color="auto"/>
              <w:bottom w:val="nil"/>
              <w:right w:val="nil"/>
            </w:tcBorders>
            <w:shd w:val="clear" w:color="auto" w:fill="FFFFFF"/>
            <w:tcMar>
              <w:top w:w="0" w:type="dxa"/>
              <w:left w:w="70" w:type="dxa"/>
              <w:bottom w:w="0" w:type="dxa"/>
              <w:right w:w="70" w:type="dxa"/>
            </w:tcMar>
            <w:vAlign w:val="center"/>
            <w:hideMark/>
          </w:tcPr>
          <w:p w14:paraId="2083242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620DD7F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4822C74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3"/>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9435FCE"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Desigualdad en el acceso a oportunidades culturales</w:t>
            </w:r>
          </w:p>
        </w:tc>
        <w:tc>
          <w:tcPr>
            <w:tcW w:w="0" w:type="auto"/>
            <w:gridSpan w:val="2"/>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28BF557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r>
      <w:tr w:rsidR="00F55BA4" w:rsidRPr="00F55BA4" w14:paraId="74FED561" w14:textId="77777777" w:rsidTr="00F55BA4">
        <w:trPr>
          <w:trHeight w:val="281"/>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8BD4AF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30F1BD9F"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4504591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52D9FF5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single" w:sz="8" w:space="0" w:color="auto"/>
              <w:right w:val="nil"/>
            </w:tcBorders>
            <w:shd w:val="clear" w:color="auto" w:fill="FFFFFF"/>
            <w:tcMar>
              <w:top w:w="0" w:type="dxa"/>
              <w:left w:w="70" w:type="dxa"/>
              <w:bottom w:w="0" w:type="dxa"/>
              <w:right w:w="70" w:type="dxa"/>
            </w:tcMar>
            <w:vAlign w:val="bottom"/>
            <w:hideMark/>
          </w:tcPr>
          <w:p w14:paraId="1025E42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8AF934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22B2BB9A"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single" w:sz="8" w:space="0" w:color="auto"/>
              <w:right w:val="nil"/>
            </w:tcBorders>
            <w:shd w:val="clear" w:color="auto" w:fill="FFFFFF"/>
            <w:tcMar>
              <w:top w:w="0" w:type="dxa"/>
              <w:left w:w="70" w:type="dxa"/>
              <w:bottom w:w="0" w:type="dxa"/>
              <w:right w:w="70" w:type="dxa"/>
            </w:tcMar>
            <w:vAlign w:val="bottom"/>
            <w:hideMark/>
          </w:tcPr>
          <w:p w14:paraId="3DD3D97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034B626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E0A187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645ACA9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0A1B80A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nil"/>
            </w:tcBorders>
            <w:shd w:val="clear" w:color="auto" w:fill="FFFFFF"/>
            <w:tcMar>
              <w:top w:w="0" w:type="dxa"/>
              <w:left w:w="70" w:type="dxa"/>
              <w:bottom w:w="0" w:type="dxa"/>
              <w:right w:w="70" w:type="dxa"/>
            </w:tcMar>
            <w:vAlign w:val="bottom"/>
            <w:hideMark/>
          </w:tcPr>
          <w:p w14:paraId="5C22CF5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3E7A476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741216BA"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4A996177" w14:textId="77777777" w:rsidTr="00F55BA4">
        <w:trPr>
          <w:trHeight w:val="281"/>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6F4CD52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center"/>
            <w:hideMark/>
          </w:tcPr>
          <w:p w14:paraId="719A6786"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4B82739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6699680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2639D91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144B53A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28D4FBE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0DD04BF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0AFE4EE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592561B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A2257A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6288DDD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37B40C0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nil"/>
              <w:right w:val="nil"/>
            </w:tcBorders>
            <w:shd w:val="clear" w:color="auto" w:fill="FFFFFF"/>
            <w:tcMar>
              <w:top w:w="0" w:type="dxa"/>
              <w:left w:w="70" w:type="dxa"/>
              <w:bottom w:w="0" w:type="dxa"/>
              <w:right w:w="70" w:type="dxa"/>
            </w:tcMar>
            <w:vAlign w:val="bottom"/>
            <w:hideMark/>
          </w:tcPr>
          <w:p w14:paraId="113D35F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744D0A84"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25CE5660" w14:textId="77777777" w:rsidTr="00F55BA4">
        <w:trPr>
          <w:trHeight w:val="1959"/>
        </w:trPr>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bottom"/>
            <w:hideMark/>
          </w:tcPr>
          <w:p w14:paraId="793CE14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F9B52D6"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Efecto</w:t>
            </w:r>
          </w:p>
        </w:tc>
        <w:tc>
          <w:tcPr>
            <w:tcW w:w="0" w:type="auto"/>
            <w:tcBorders>
              <w:top w:val="nil"/>
              <w:left w:val="single" w:sz="8" w:space="0" w:color="auto"/>
              <w:bottom w:val="nil"/>
              <w:right w:val="single" w:sz="8" w:space="0" w:color="auto"/>
            </w:tcBorders>
            <w:shd w:val="clear" w:color="auto" w:fill="FFFFFF"/>
            <w:tcMar>
              <w:top w:w="0" w:type="dxa"/>
              <w:left w:w="70" w:type="dxa"/>
              <w:bottom w:w="0" w:type="dxa"/>
              <w:right w:w="70" w:type="dxa"/>
            </w:tcMar>
            <w:vAlign w:val="bottom"/>
            <w:hideMark/>
          </w:tcPr>
          <w:p w14:paraId="74C5A0E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5CBA8A7E"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Poca sostenibilidad y continuidad de los proyectos culturales y artísticos generados en Jalisco</w:t>
            </w:r>
          </w:p>
        </w:tc>
        <w:tc>
          <w:tcPr>
            <w:tcW w:w="0" w:type="auto"/>
            <w:tcBorders>
              <w:top w:val="nil"/>
              <w:left w:val="single" w:sz="8" w:space="0" w:color="auto"/>
              <w:bottom w:val="nil"/>
              <w:right w:val="nil"/>
            </w:tcBorders>
            <w:shd w:val="clear" w:color="auto" w:fill="FFFFFF"/>
            <w:tcMar>
              <w:top w:w="0" w:type="dxa"/>
              <w:left w:w="70" w:type="dxa"/>
              <w:bottom w:w="0" w:type="dxa"/>
              <w:right w:w="70" w:type="dxa"/>
            </w:tcMar>
            <w:vAlign w:val="center"/>
            <w:hideMark/>
          </w:tcPr>
          <w:p w14:paraId="7B5FF630"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center"/>
            <w:hideMark/>
          </w:tcPr>
          <w:p w14:paraId="2B74774A"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E11226F"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Limitadas oportunidades para realizar proyectos vinculados al sector cultural y artístico</w:t>
            </w:r>
          </w:p>
        </w:tc>
        <w:tc>
          <w:tcPr>
            <w:tcW w:w="0" w:type="auto"/>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6262B9EA"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0832BB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432FC512"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Limitada participación y representación de grupos de interés prioritario en la producción cultural</w:t>
            </w:r>
          </w:p>
        </w:tc>
        <w:tc>
          <w:tcPr>
            <w:tcW w:w="0" w:type="auto"/>
            <w:gridSpan w:val="2"/>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1AA81DF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3E92EE57"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5FEBFD80" w14:textId="77777777" w:rsidTr="00F55BA4">
        <w:trPr>
          <w:trHeight w:val="268"/>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7D4616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center"/>
            <w:hideMark/>
          </w:tcPr>
          <w:p w14:paraId="29A8FBDE"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52D3328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0B45B4A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nil"/>
            </w:tcBorders>
            <w:shd w:val="clear" w:color="auto" w:fill="FFFFFF"/>
            <w:tcMar>
              <w:top w:w="0" w:type="dxa"/>
              <w:left w:w="70" w:type="dxa"/>
              <w:bottom w:w="0" w:type="dxa"/>
              <w:right w:w="70" w:type="dxa"/>
            </w:tcMar>
            <w:vAlign w:val="bottom"/>
            <w:hideMark/>
          </w:tcPr>
          <w:p w14:paraId="0C2FC46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F8D9E0C"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6F4FFEA"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500A676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nil"/>
            </w:tcBorders>
            <w:shd w:val="clear" w:color="auto" w:fill="FFFFFF"/>
            <w:tcMar>
              <w:top w:w="0" w:type="dxa"/>
              <w:left w:w="70" w:type="dxa"/>
              <w:bottom w:w="0" w:type="dxa"/>
              <w:right w:w="70" w:type="dxa"/>
            </w:tcMar>
            <w:vAlign w:val="bottom"/>
            <w:hideMark/>
          </w:tcPr>
          <w:p w14:paraId="3A2DF1D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FA3EF5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F21D0D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6F54D79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nil"/>
            </w:tcBorders>
            <w:shd w:val="clear" w:color="auto" w:fill="FFFFFF"/>
            <w:tcMar>
              <w:top w:w="0" w:type="dxa"/>
              <w:left w:w="70" w:type="dxa"/>
              <w:bottom w:w="0" w:type="dxa"/>
              <w:right w:w="70" w:type="dxa"/>
            </w:tcMar>
            <w:vAlign w:val="bottom"/>
            <w:hideMark/>
          </w:tcPr>
          <w:p w14:paraId="24DE8FE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nil"/>
              <w:right w:val="nil"/>
            </w:tcBorders>
            <w:shd w:val="clear" w:color="auto" w:fill="FFFFFF"/>
            <w:tcMar>
              <w:top w:w="0" w:type="dxa"/>
              <w:left w:w="70" w:type="dxa"/>
              <w:bottom w:w="0" w:type="dxa"/>
              <w:right w:w="70" w:type="dxa"/>
            </w:tcMar>
            <w:vAlign w:val="bottom"/>
            <w:hideMark/>
          </w:tcPr>
          <w:p w14:paraId="0943234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6FAD2186"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1B2A16E0" w14:textId="77777777" w:rsidTr="00F55BA4">
        <w:trPr>
          <w:trHeight w:val="281"/>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B69000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center"/>
            <w:hideMark/>
          </w:tcPr>
          <w:p w14:paraId="0632CEEF"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663957E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40EE11C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082D0FD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43C5209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7C8116C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7F52BD4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243464F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09127B0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250580F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5F319F5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0DBB4A2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single" w:sz="8" w:space="0" w:color="auto"/>
              <w:right w:val="nil"/>
            </w:tcBorders>
            <w:shd w:val="clear" w:color="auto" w:fill="FFFFFF"/>
            <w:tcMar>
              <w:top w:w="0" w:type="dxa"/>
              <w:left w:w="70" w:type="dxa"/>
              <w:bottom w:w="0" w:type="dxa"/>
              <w:right w:w="70" w:type="dxa"/>
            </w:tcMar>
            <w:vAlign w:val="bottom"/>
            <w:hideMark/>
          </w:tcPr>
          <w:p w14:paraId="6518FA8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0A4F317C"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228264FC" w14:textId="77777777" w:rsidTr="00F55BA4">
        <w:trPr>
          <w:trHeight w:val="806"/>
        </w:trPr>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bottom"/>
            <w:hideMark/>
          </w:tcPr>
          <w:p w14:paraId="38BC450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9B0D31E"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Problema</w:t>
            </w:r>
          </w:p>
        </w:tc>
        <w:tc>
          <w:tcPr>
            <w:tcW w:w="0" w:type="auto"/>
            <w:tcBorders>
              <w:top w:val="nil"/>
              <w:left w:val="single" w:sz="8" w:space="0" w:color="auto"/>
              <w:bottom w:val="nil"/>
              <w:right w:val="single" w:sz="8" w:space="0" w:color="auto"/>
            </w:tcBorders>
            <w:shd w:val="clear" w:color="auto" w:fill="FFFFFF"/>
            <w:tcMar>
              <w:top w:w="0" w:type="dxa"/>
              <w:left w:w="70" w:type="dxa"/>
              <w:bottom w:w="0" w:type="dxa"/>
              <w:right w:w="70" w:type="dxa"/>
            </w:tcMar>
            <w:vAlign w:val="bottom"/>
            <w:hideMark/>
          </w:tcPr>
          <w:p w14:paraId="7F9FFAD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11"/>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767EFBD"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Las personas que conforman el sector cultural y artístico de Jalisco, enfrentan limitaciones económicas, estructurales y de acceso a recursos que restringen la producción sostenible de bienes y servicios culturales vinculados a su profesión</w:t>
            </w:r>
          </w:p>
        </w:tc>
        <w:tc>
          <w:tcPr>
            <w:tcW w:w="0" w:type="auto"/>
            <w:gridSpan w:val="2"/>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2964FE7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r>
      <w:tr w:rsidR="00F55BA4" w:rsidRPr="00F55BA4" w14:paraId="1C4F276A" w14:textId="77777777" w:rsidTr="00F55BA4">
        <w:trPr>
          <w:trHeight w:val="268"/>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F68DDE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center"/>
            <w:hideMark/>
          </w:tcPr>
          <w:p w14:paraId="7515D642"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61C99F2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0EEC95A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nil"/>
            </w:tcBorders>
            <w:shd w:val="clear" w:color="auto" w:fill="FFFFFF"/>
            <w:tcMar>
              <w:top w:w="0" w:type="dxa"/>
              <w:left w:w="70" w:type="dxa"/>
              <w:bottom w:w="0" w:type="dxa"/>
              <w:right w:w="70" w:type="dxa"/>
            </w:tcMar>
            <w:vAlign w:val="bottom"/>
            <w:hideMark/>
          </w:tcPr>
          <w:p w14:paraId="25352D3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0415384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3D1CE1B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180B44B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bottom"/>
            <w:hideMark/>
          </w:tcPr>
          <w:p w14:paraId="03577B7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4E28686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7F3A585C"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7C5CC7EA"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nil"/>
            </w:tcBorders>
            <w:shd w:val="clear" w:color="auto" w:fill="FFFFFF"/>
            <w:tcMar>
              <w:top w:w="0" w:type="dxa"/>
              <w:left w:w="70" w:type="dxa"/>
              <w:bottom w:w="0" w:type="dxa"/>
              <w:right w:w="70" w:type="dxa"/>
            </w:tcMar>
            <w:vAlign w:val="bottom"/>
            <w:hideMark/>
          </w:tcPr>
          <w:p w14:paraId="0E6E5E0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3B19524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55759E85"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23C5FCF1" w14:textId="77777777" w:rsidTr="00F55BA4">
        <w:trPr>
          <w:trHeight w:val="281"/>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23A7D1D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nil"/>
            </w:tcBorders>
            <w:shd w:val="clear" w:color="auto" w:fill="FFFFFF"/>
            <w:tcMar>
              <w:top w:w="0" w:type="dxa"/>
              <w:left w:w="70" w:type="dxa"/>
              <w:bottom w:w="0" w:type="dxa"/>
              <w:right w:w="70" w:type="dxa"/>
            </w:tcMar>
            <w:vAlign w:val="center"/>
            <w:hideMark/>
          </w:tcPr>
          <w:p w14:paraId="782A181E"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1EC302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5CFF5E4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4BD14A3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3718670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3E359C5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29BA6CF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6FF26F7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42ABAD48"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4F2376B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1E8D9F2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3A20354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nil"/>
              <w:right w:val="nil"/>
            </w:tcBorders>
            <w:shd w:val="clear" w:color="auto" w:fill="FFFFFF"/>
            <w:tcMar>
              <w:top w:w="0" w:type="dxa"/>
              <w:left w:w="70" w:type="dxa"/>
              <w:bottom w:w="0" w:type="dxa"/>
              <w:right w:w="70" w:type="dxa"/>
            </w:tcMar>
            <w:vAlign w:val="bottom"/>
            <w:hideMark/>
          </w:tcPr>
          <w:p w14:paraId="00A8938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5E3148E2"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4B87AF88" w14:textId="77777777" w:rsidTr="00F55BA4">
        <w:trPr>
          <w:trHeight w:val="2179"/>
        </w:trPr>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bottom"/>
            <w:hideMark/>
          </w:tcPr>
          <w:p w14:paraId="7D856BA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027F2E00"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Causas</w:t>
            </w:r>
          </w:p>
        </w:tc>
        <w:tc>
          <w:tcPr>
            <w:tcW w:w="0" w:type="auto"/>
            <w:tcBorders>
              <w:top w:val="nil"/>
              <w:left w:val="single" w:sz="8" w:space="0" w:color="auto"/>
              <w:bottom w:val="nil"/>
              <w:right w:val="single" w:sz="8" w:space="0" w:color="auto"/>
            </w:tcBorders>
            <w:shd w:val="clear" w:color="auto" w:fill="FFFFFF"/>
            <w:tcMar>
              <w:top w:w="0" w:type="dxa"/>
              <w:left w:w="70" w:type="dxa"/>
              <w:bottom w:w="0" w:type="dxa"/>
              <w:right w:w="70" w:type="dxa"/>
            </w:tcMar>
            <w:vAlign w:val="bottom"/>
            <w:hideMark/>
          </w:tcPr>
          <w:p w14:paraId="64146B1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E5E7C25"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Bajo consumo de la población en bienes y servicios culturales, así como de las producciones y proyectos del sector cultural y artístico</w:t>
            </w:r>
          </w:p>
        </w:tc>
        <w:tc>
          <w:tcPr>
            <w:tcW w:w="0" w:type="auto"/>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09CDA04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bottom"/>
            <w:hideMark/>
          </w:tcPr>
          <w:p w14:paraId="3089F7E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37F7BF98"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Difícil acceso a apoyos económicos directos para la producción cultural.</w:t>
            </w:r>
          </w:p>
        </w:tc>
        <w:tc>
          <w:tcPr>
            <w:tcW w:w="0" w:type="auto"/>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367DF4EC"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929DF3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66641BC"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Poca atención de las condiciones sociodemográficas de los grupos de interés prioritario interesados en la producción artística en Jalisco</w:t>
            </w:r>
          </w:p>
        </w:tc>
        <w:tc>
          <w:tcPr>
            <w:tcW w:w="0" w:type="auto"/>
            <w:gridSpan w:val="2"/>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4BF4BEE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074DB78F"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211C1993" w14:textId="77777777" w:rsidTr="00F55BA4">
        <w:trPr>
          <w:trHeight w:val="268"/>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2F65D24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center"/>
            <w:hideMark/>
          </w:tcPr>
          <w:p w14:paraId="70415193"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4E3557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705165DA"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nil"/>
            </w:tcBorders>
            <w:shd w:val="clear" w:color="auto" w:fill="FFFFFF"/>
            <w:tcMar>
              <w:top w:w="0" w:type="dxa"/>
              <w:left w:w="70" w:type="dxa"/>
              <w:bottom w:w="0" w:type="dxa"/>
              <w:right w:w="70" w:type="dxa"/>
            </w:tcMar>
            <w:vAlign w:val="bottom"/>
            <w:hideMark/>
          </w:tcPr>
          <w:p w14:paraId="7DBD56E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63BCB05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58C4F4C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16EE8E7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single" w:sz="8" w:space="0" w:color="auto"/>
            </w:tcBorders>
            <w:shd w:val="clear" w:color="auto" w:fill="FFFFFF"/>
            <w:tcMar>
              <w:top w:w="0" w:type="dxa"/>
              <w:left w:w="70" w:type="dxa"/>
              <w:bottom w:w="0" w:type="dxa"/>
              <w:right w:w="70" w:type="dxa"/>
            </w:tcMar>
            <w:vAlign w:val="bottom"/>
            <w:hideMark/>
          </w:tcPr>
          <w:p w14:paraId="58DB685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43E523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5E4801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single" w:sz="8" w:space="0" w:color="auto"/>
            </w:tcBorders>
            <w:shd w:val="clear" w:color="auto" w:fill="FFFFFF"/>
            <w:tcMar>
              <w:top w:w="0" w:type="dxa"/>
              <w:left w:w="70" w:type="dxa"/>
              <w:bottom w:w="0" w:type="dxa"/>
              <w:right w:w="70" w:type="dxa"/>
            </w:tcMar>
            <w:vAlign w:val="bottom"/>
            <w:hideMark/>
          </w:tcPr>
          <w:p w14:paraId="7A13AFAC"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single" w:sz="8" w:space="0" w:color="auto"/>
              <w:bottom w:val="nil"/>
              <w:right w:val="nil"/>
            </w:tcBorders>
            <w:shd w:val="clear" w:color="auto" w:fill="FFFFFF"/>
            <w:tcMar>
              <w:top w:w="0" w:type="dxa"/>
              <w:left w:w="70" w:type="dxa"/>
              <w:bottom w:w="0" w:type="dxa"/>
              <w:right w:w="70" w:type="dxa"/>
            </w:tcMar>
            <w:vAlign w:val="bottom"/>
            <w:hideMark/>
          </w:tcPr>
          <w:p w14:paraId="6047633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nil"/>
              <w:right w:val="nil"/>
            </w:tcBorders>
            <w:shd w:val="clear" w:color="auto" w:fill="FFFFFF"/>
            <w:tcMar>
              <w:top w:w="0" w:type="dxa"/>
              <w:left w:w="70" w:type="dxa"/>
              <w:bottom w:w="0" w:type="dxa"/>
              <w:right w:w="70" w:type="dxa"/>
            </w:tcMar>
            <w:vAlign w:val="bottom"/>
            <w:hideMark/>
          </w:tcPr>
          <w:p w14:paraId="2DB5965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2A552FEB"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232DA415" w14:textId="77777777" w:rsidTr="00F55BA4">
        <w:trPr>
          <w:trHeight w:val="281"/>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4E0DCFA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02E41CCD"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431A3D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7F68226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58FC1D4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5AFBF7F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F63DFE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0590498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single" w:sz="8" w:space="0" w:color="auto"/>
            </w:tcBorders>
            <w:shd w:val="clear" w:color="auto" w:fill="FFFFFF"/>
            <w:tcMar>
              <w:top w:w="0" w:type="dxa"/>
              <w:left w:w="70" w:type="dxa"/>
              <w:bottom w:w="0" w:type="dxa"/>
              <w:right w:w="70" w:type="dxa"/>
            </w:tcMar>
            <w:vAlign w:val="bottom"/>
            <w:hideMark/>
          </w:tcPr>
          <w:p w14:paraId="0B60850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0DC02A3"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635DD751"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single" w:sz="8" w:space="0" w:color="auto"/>
              <w:right w:val="single" w:sz="8" w:space="0" w:color="auto"/>
            </w:tcBorders>
            <w:shd w:val="clear" w:color="auto" w:fill="FFFFFF"/>
            <w:tcMar>
              <w:top w:w="0" w:type="dxa"/>
              <w:left w:w="70" w:type="dxa"/>
              <w:bottom w:w="0" w:type="dxa"/>
              <w:right w:w="70" w:type="dxa"/>
            </w:tcMar>
            <w:vAlign w:val="bottom"/>
            <w:hideMark/>
          </w:tcPr>
          <w:p w14:paraId="221A2FCB"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single" w:sz="8" w:space="0" w:color="auto"/>
              <w:bottom w:val="single" w:sz="8" w:space="0" w:color="auto"/>
              <w:right w:val="nil"/>
            </w:tcBorders>
            <w:shd w:val="clear" w:color="auto" w:fill="FFFFFF"/>
            <w:tcMar>
              <w:top w:w="0" w:type="dxa"/>
              <w:left w:w="70" w:type="dxa"/>
              <w:bottom w:w="0" w:type="dxa"/>
              <w:right w:w="70" w:type="dxa"/>
            </w:tcMar>
            <w:vAlign w:val="bottom"/>
            <w:hideMark/>
          </w:tcPr>
          <w:p w14:paraId="61A851C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nil"/>
              <w:right w:val="nil"/>
            </w:tcBorders>
            <w:shd w:val="clear" w:color="auto" w:fill="FFFFFF"/>
            <w:tcMar>
              <w:top w:w="0" w:type="dxa"/>
              <w:left w:w="70" w:type="dxa"/>
              <w:bottom w:w="0" w:type="dxa"/>
              <w:right w:w="70" w:type="dxa"/>
            </w:tcMar>
            <w:vAlign w:val="bottom"/>
            <w:hideMark/>
          </w:tcPr>
          <w:p w14:paraId="1155AFF0"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1F4B3499"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2E803863" w14:textId="77777777" w:rsidTr="00F55BA4">
        <w:trPr>
          <w:trHeight w:val="1168"/>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28FC6C9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76DE5762"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bottom"/>
            <w:hideMark/>
          </w:tcPr>
          <w:p w14:paraId="4ACB40D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728343DB"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Escasa promoción de la educación y el acceso cultural en los hogares</w:t>
            </w:r>
          </w:p>
        </w:tc>
        <w:tc>
          <w:tcPr>
            <w:tcW w:w="0" w:type="auto"/>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30CF1AE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single" w:sz="8" w:space="0" w:color="auto"/>
            </w:tcBorders>
            <w:shd w:val="clear" w:color="auto" w:fill="FFFFFF"/>
            <w:tcMar>
              <w:top w:w="0" w:type="dxa"/>
              <w:left w:w="70" w:type="dxa"/>
              <w:bottom w:w="0" w:type="dxa"/>
              <w:right w:w="70" w:type="dxa"/>
            </w:tcMar>
            <w:vAlign w:val="bottom"/>
            <w:hideMark/>
          </w:tcPr>
          <w:p w14:paraId="1447CA97"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133BEF3"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xml:space="preserve">Escasas alianzas y mecanismos de colaboración que faciliten el acceso a recursos para la producción de </w:t>
            </w:r>
            <w:r w:rsidRPr="00F55BA4">
              <w:rPr>
                <w:rFonts w:ascii="Calibri" w:eastAsia="Times New Roman" w:hAnsi="Calibri" w:cs="Calibri"/>
                <w:sz w:val="24"/>
                <w:szCs w:val="24"/>
                <w:bdr w:val="none" w:sz="0" w:space="0" w:color="auto" w:frame="1"/>
                <w:lang w:eastAsia="es-MX"/>
              </w:rPr>
              <w:lastRenderedPageBreak/>
              <w:t>bienes y servicios culturales.</w:t>
            </w:r>
          </w:p>
        </w:tc>
        <w:tc>
          <w:tcPr>
            <w:tcW w:w="0" w:type="auto"/>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59313DA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lastRenderedPageBreak/>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5118080A"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70" w:type="dxa"/>
              <w:bottom w:w="0" w:type="dxa"/>
              <w:right w:w="70" w:type="dxa"/>
            </w:tcMar>
            <w:vAlign w:val="center"/>
            <w:hideMark/>
          </w:tcPr>
          <w:p w14:paraId="21F93A95"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Limitada priorización de grupos vulnerables en programas culturales estatales.</w:t>
            </w:r>
          </w:p>
        </w:tc>
        <w:tc>
          <w:tcPr>
            <w:tcW w:w="0" w:type="auto"/>
            <w:gridSpan w:val="2"/>
            <w:tcBorders>
              <w:top w:val="nil"/>
              <w:left w:val="single" w:sz="8" w:space="0" w:color="auto"/>
              <w:bottom w:val="nil"/>
              <w:right w:val="nil"/>
            </w:tcBorders>
            <w:shd w:val="clear" w:color="auto" w:fill="FFFFFF"/>
            <w:tcMar>
              <w:top w:w="0" w:type="dxa"/>
              <w:left w:w="70" w:type="dxa"/>
              <w:bottom w:w="0" w:type="dxa"/>
              <w:right w:w="70" w:type="dxa"/>
            </w:tcMar>
            <w:vAlign w:val="bottom"/>
            <w:hideMark/>
          </w:tcPr>
          <w:p w14:paraId="71491C8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1CD83BF0"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r w:rsidR="00F55BA4" w:rsidRPr="00F55BA4" w14:paraId="54FBC974" w14:textId="77777777" w:rsidTr="00F55BA4">
        <w:trPr>
          <w:trHeight w:val="268"/>
        </w:trPr>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7FFEB69"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center"/>
            <w:hideMark/>
          </w:tcPr>
          <w:p w14:paraId="7FF6CC85" w14:textId="77777777" w:rsidR="00F55BA4" w:rsidRPr="00F55BA4" w:rsidRDefault="00F55BA4" w:rsidP="00F55BA4">
            <w:pPr>
              <w:spacing w:after="0" w:line="240" w:lineRule="auto"/>
              <w:jc w:val="center"/>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3A10FF0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391595E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0C2576C6"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144A3CF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7F11513A"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5666102F"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2487CD7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8E31C44"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nil"/>
              <w:left w:val="nil"/>
              <w:bottom w:val="nil"/>
              <w:right w:val="nil"/>
            </w:tcBorders>
            <w:shd w:val="clear" w:color="auto" w:fill="FFFFFF"/>
            <w:tcMar>
              <w:top w:w="0" w:type="dxa"/>
              <w:left w:w="70" w:type="dxa"/>
              <w:bottom w:w="0" w:type="dxa"/>
              <w:right w:w="70" w:type="dxa"/>
            </w:tcMar>
            <w:vAlign w:val="bottom"/>
            <w:hideMark/>
          </w:tcPr>
          <w:p w14:paraId="0BC006BE"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60CF56AD"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tcBorders>
              <w:top w:val="single" w:sz="8" w:space="0" w:color="auto"/>
              <w:left w:val="nil"/>
              <w:bottom w:val="nil"/>
              <w:right w:val="nil"/>
            </w:tcBorders>
            <w:shd w:val="clear" w:color="auto" w:fill="FFFFFF"/>
            <w:tcMar>
              <w:top w:w="0" w:type="dxa"/>
              <w:left w:w="70" w:type="dxa"/>
              <w:bottom w:w="0" w:type="dxa"/>
              <w:right w:w="70" w:type="dxa"/>
            </w:tcMar>
            <w:vAlign w:val="bottom"/>
            <w:hideMark/>
          </w:tcPr>
          <w:p w14:paraId="0D3D18C5"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gridSpan w:val="2"/>
            <w:tcBorders>
              <w:top w:val="nil"/>
              <w:left w:val="nil"/>
              <w:bottom w:val="nil"/>
              <w:right w:val="nil"/>
            </w:tcBorders>
            <w:shd w:val="clear" w:color="auto" w:fill="FFFFFF"/>
            <w:tcMar>
              <w:top w:w="0" w:type="dxa"/>
              <w:left w:w="70" w:type="dxa"/>
              <w:bottom w:w="0" w:type="dxa"/>
              <w:right w:w="70" w:type="dxa"/>
            </w:tcMar>
            <w:vAlign w:val="bottom"/>
            <w:hideMark/>
          </w:tcPr>
          <w:p w14:paraId="7BEC02F2" w14:textId="77777777" w:rsidR="00F55BA4" w:rsidRPr="00F55BA4" w:rsidRDefault="00F55BA4" w:rsidP="00F55BA4">
            <w:pPr>
              <w:spacing w:after="0" w:line="240" w:lineRule="auto"/>
              <w:textAlignment w:val="baseline"/>
              <w:rPr>
                <w:rFonts w:ascii="Dosis" w:eastAsia="Times New Roman" w:hAnsi="Dosis" w:cs="Times New Roman"/>
                <w:sz w:val="24"/>
                <w:szCs w:val="24"/>
                <w:lang w:eastAsia="es-MX"/>
              </w:rPr>
            </w:pPr>
            <w:r w:rsidRPr="00F55BA4">
              <w:rPr>
                <w:rFonts w:ascii="Calibri" w:eastAsia="Times New Roman" w:hAnsi="Calibri" w:cs="Calibri"/>
                <w:sz w:val="24"/>
                <w:szCs w:val="24"/>
                <w:bdr w:val="none" w:sz="0" w:space="0" w:color="auto" w:frame="1"/>
                <w:lang w:eastAsia="es-MX"/>
              </w:rPr>
              <w:t> </w:t>
            </w:r>
          </w:p>
        </w:tc>
        <w:tc>
          <w:tcPr>
            <w:tcW w:w="0" w:type="auto"/>
            <w:shd w:val="clear" w:color="auto" w:fill="FFFFFF"/>
            <w:vAlign w:val="center"/>
            <w:hideMark/>
          </w:tcPr>
          <w:p w14:paraId="283A05C3" w14:textId="77777777" w:rsidR="00F55BA4" w:rsidRPr="00F55BA4" w:rsidRDefault="00F55BA4" w:rsidP="00F55BA4">
            <w:pPr>
              <w:spacing w:after="0" w:line="240" w:lineRule="auto"/>
              <w:rPr>
                <w:rFonts w:ascii="Times New Roman" w:eastAsia="Times New Roman" w:hAnsi="Times New Roman" w:cs="Times New Roman"/>
                <w:sz w:val="20"/>
                <w:szCs w:val="20"/>
                <w:lang w:eastAsia="es-MX"/>
              </w:rPr>
            </w:pPr>
          </w:p>
        </w:tc>
      </w:tr>
    </w:tbl>
    <w:p w14:paraId="2438170E" w14:textId="5A6C4925" w:rsidR="00F55BA4" w:rsidRDefault="00F55BA4" w:rsidP="00CD2C85">
      <w:pPr>
        <w:shd w:val="clear" w:color="auto" w:fill="FFFFFF"/>
        <w:spacing w:after="0" w:line="240" w:lineRule="auto"/>
        <w:jc w:val="both"/>
        <w:textAlignment w:val="baseline"/>
        <w:rPr>
          <w:rFonts w:ascii="Arial" w:eastAsia="Times New Roman" w:hAnsi="Arial" w:cs="Arial"/>
          <w:b/>
          <w:bCs/>
          <w:color w:val="000000"/>
          <w:sz w:val="24"/>
          <w:szCs w:val="24"/>
          <w:bdr w:val="none" w:sz="0" w:space="0" w:color="auto" w:frame="1"/>
          <w:lang w:eastAsia="es-MX"/>
        </w:rPr>
      </w:pPr>
      <w:r w:rsidRPr="00F55BA4">
        <w:rPr>
          <w:rFonts w:ascii="Roboto Condensed" w:eastAsia="Times New Roman" w:hAnsi="Roboto Condensed" w:cs="Times New Roman"/>
          <w:color w:val="000000"/>
          <w:sz w:val="23"/>
          <w:szCs w:val="23"/>
          <w:shd w:val="clear" w:color="auto" w:fill="FFFFFF"/>
          <w:lang w:eastAsia="es-MX"/>
        </w:rPr>
        <w:t> </w:t>
      </w:r>
    </w:p>
    <w:sectPr w:rsidR="00F55BA4" w:rsidSect="00043A0B">
      <w:headerReference w:type="default" r:id="rId8"/>
      <w:footerReference w:type="default" r:id="rId9"/>
      <w:pgSz w:w="12240" w:h="15840"/>
      <w:pgMar w:top="2127" w:right="1041" w:bottom="720" w:left="993" w:header="708" w:footer="34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799F181" w14:textId="77777777" w:rsidR="0049043A" w:rsidRDefault="0049043A" w:rsidP="007B1FEB">
      <w:pPr>
        <w:spacing w:after="0" w:line="240" w:lineRule="auto"/>
      </w:pPr>
      <w:r>
        <w:separator/>
      </w:r>
    </w:p>
  </w:endnote>
  <w:endnote w:type="continuationSeparator" w:id="0">
    <w:p w14:paraId="45AF3128" w14:textId="77777777" w:rsidR="0049043A" w:rsidRDefault="0049043A" w:rsidP="007B1F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Dosis">
    <w:altName w:val="Dosis"/>
    <w:charset w:val="00"/>
    <w:family w:val="auto"/>
    <w:pitch w:val="variable"/>
    <w:sig w:usb0="A00000BF" w:usb1="4000207B" w:usb2="00000000" w:usb3="00000000" w:csb0="00000093" w:csb1="00000000"/>
  </w:font>
  <w:font w:name="Roboto Condensed">
    <w:charset w:val="00"/>
    <w:family w:val="auto"/>
    <w:pitch w:val="variable"/>
    <w:sig w:usb0="E00002FF" w:usb1="5000205B" w:usb2="00000020" w:usb3="00000000" w:csb0="0000019F" w:csb1="00000000"/>
  </w:font>
  <w:font w:name="Nutmeg Book">
    <w:charset w:val="00"/>
    <w:family w:val="auto"/>
    <w:pitch w:val="variable"/>
    <w:sig w:usb0="00000007" w:usb1="00000001"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85"/>
      <w:gridCol w:w="3386"/>
      <w:gridCol w:w="3427"/>
    </w:tblGrid>
    <w:tr w:rsidR="00AE7691" w:rsidRPr="00777B35" w14:paraId="01289A19" w14:textId="77777777" w:rsidTr="00AE7691">
      <w:tc>
        <w:tcPr>
          <w:tcW w:w="3538" w:type="dxa"/>
        </w:tcPr>
        <w:p w14:paraId="5767B5C6" w14:textId="77777777" w:rsidR="00AE7691" w:rsidRPr="00777B35" w:rsidRDefault="00AE7691" w:rsidP="00777B35">
          <w:pPr>
            <w:pStyle w:val="Piedepgina"/>
            <w:rPr>
              <w:rFonts w:ascii="Century Gothic" w:hAnsi="Century Gothic"/>
              <w:b/>
              <w:sz w:val="16"/>
              <w:szCs w:val="16"/>
            </w:rPr>
          </w:pPr>
        </w:p>
      </w:tc>
      <w:tc>
        <w:tcPr>
          <w:tcW w:w="3647" w:type="dxa"/>
        </w:tcPr>
        <w:p w14:paraId="40B5627E" w14:textId="77777777" w:rsidR="00AE7691" w:rsidRPr="00777B35" w:rsidRDefault="00777B35" w:rsidP="00EA52D4">
          <w:pPr>
            <w:pStyle w:val="Piedepgina"/>
            <w:rPr>
              <w:rFonts w:ascii="Century Gothic" w:hAnsi="Century Gothic"/>
              <w:b/>
              <w:sz w:val="16"/>
              <w:szCs w:val="16"/>
            </w:rPr>
          </w:pPr>
          <w:r>
            <w:rPr>
              <w:rFonts w:ascii="Century Gothic" w:hAnsi="Century Gothic"/>
              <w:b/>
              <w:sz w:val="16"/>
              <w:szCs w:val="16"/>
            </w:rPr>
            <w:t xml:space="preserve">                              </w:t>
          </w:r>
        </w:p>
      </w:tc>
      <w:tc>
        <w:tcPr>
          <w:tcW w:w="3647" w:type="dxa"/>
        </w:tcPr>
        <w:sdt>
          <w:sdtPr>
            <w:rPr>
              <w:rFonts w:ascii="Century Gothic" w:hAnsi="Century Gothic" w:cs="Arial"/>
              <w:b/>
              <w:sz w:val="16"/>
              <w:szCs w:val="16"/>
            </w:rPr>
            <w:id w:val="676466578"/>
            <w:docPartObj>
              <w:docPartGallery w:val="Page Numbers (Bottom of Page)"/>
              <w:docPartUnique/>
            </w:docPartObj>
          </w:sdtPr>
          <w:sdtEndPr/>
          <w:sdtContent>
            <w:p w14:paraId="09905564" w14:textId="77777777" w:rsidR="00AE7691" w:rsidRPr="00777B35" w:rsidRDefault="00AE7691" w:rsidP="00822FF0">
              <w:pPr>
                <w:pStyle w:val="Piedepgina"/>
                <w:jc w:val="right"/>
                <w:rPr>
                  <w:rFonts w:ascii="Century Gothic" w:hAnsi="Century Gothic" w:cs="Arial"/>
                  <w:b/>
                  <w:sz w:val="16"/>
                  <w:szCs w:val="16"/>
                </w:rPr>
              </w:pPr>
              <w:r w:rsidRPr="00777B35">
                <w:rPr>
                  <w:rFonts w:ascii="Century Gothic" w:hAnsi="Century Gothic" w:cs="Arial"/>
                  <w:b/>
                  <w:sz w:val="16"/>
                  <w:szCs w:val="16"/>
                  <w:lang w:val="es-ES"/>
                </w:rPr>
                <w:t xml:space="preserve">Página </w:t>
              </w:r>
              <w:r w:rsidRPr="00777B35">
                <w:rPr>
                  <w:rFonts w:ascii="Century Gothic" w:hAnsi="Century Gothic" w:cs="Arial"/>
                  <w:b/>
                  <w:sz w:val="16"/>
                  <w:szCs w:val="16"/>
                </w:rPr>
                <w:fldChar w:fldCharType="begin"/>
              </w:r>
              <w:r w:rsidRPr="00777B35">
                <w:rPr>
                  <w:rFonts w:ascii="Century Gothic" w:hAnsi="Century Gothic" w:cs="Arial"/>
                  <w:b/>
                  <w:sz w:val="16"/>
                  <w:szCs w:val="16"/>
                </w:rPr>
                <w:instrText>PAGE  \* Arabic  \* MERGEFORMAT</w:instrText>
              </w:r>
              <w:r w:rsidRPr="00777B35">
                <w:rPr>
                  <w:rFonts w:ascii="Century Gothic" w:hAnsi="Century Gothic" w:cs="Arial"/>
                  <w:b/>
                  <w:sz w:val="16"/>
                  <w:szCs w:val="16"/>
                </w:rPr>
                <w:fldChar w:fldCharType="separate"/>
              </w:r>
              <w:r w:rsidR="00F138C8">
                <w:rPr>
                  <w:rFonts w:ascii="Century Gothic" w:hAnsi="Century Gothic" w:cs="Arial"/>
                  <w:b/>
                  <w:noProof/>
                  <w:sz w:val="16"/>
                  <w:szCs w:val="16"/>
                </w:rPr>
                <w:t>1</w:t>
              </w:r>
              <w:r w:rsidRPr="00777B35">
                <w:rPr>
                  <w:rFonts w:ascii="Century Gothic" w:hAnsi="Century Gothic" w:cs="Arial"/>
                  <w:b/>
                  <w:sz w:val="16"/>
                  <w:szCs w:val="16"/>
                </w:rPr>
                <w:fldChar w:fldCharType="end"/>
              </w:r>
              <w:r w:rsidRPr="00777B35">
                <w:rPr>
                  <w:rFonts w:ascii="Century Gothic" w:hAnsi="Century Gothic" w:cs="Arial"/>
                  <w:b/>
                  <w:sz w:val="16"/>
                  <w:szCs w:val="16"/>
                  <w:lang w:val="es-ES"/>
                </w:rPr>
                <w:t xml:space="preserve"> de </w:t>
              </w:r>
              <w:r w:rsidR="009E798E" w:rsidRPr="00777B35">
                <w:rPr>
                  <w:sz w:val="16"/>
                  <w:szCs w:val="16"/>
                </w:rPr>
                <w:fldChar w:fldCharType="begin"/>
              </w:r>
              <w:r w:rsidR="009E798E" w:rsidRPr="00777B35">
                <w:rPr>
                  <w:sz w:val="16"/>
                  <w:szCs w:val="16"/>
                </w:rPr>
                <w:instrText>NUMPAGES  \* Arabic  \* MERGEFORMAT</w:instrText>
              </w:r>
              <w:r w:rsidR="009E798E" w:rsidRPr="00777B35">
                <w:rPr>
                  <w:sz w:val="16"/>
                  <w:szCs w:val="16"/>
                </w:rPr>
                <w:fldChar w:fldCharType="separate"/>
              </w:r>
              <w:r w:rsidR="00F138C8" w:rsidRPr="00F138C8">
                <w:rPr>
                  <w:rFonts w:ascii="Century Gothic" w:hAnsi="Century Gothic" w:cs="Arial"/>
                  <w:b/>
                  <w:noProof/>
                  <w:sz w:val="16"/>
                  <w:szCs w:val="16"/>
                </w:rPr>
                <w:t>1</w:t>
              </w:r>
              <w:r w:rsidR="009E798E" w:rsidRPr="00777B35">
                <w:rPr>
                  <w:rFonts w:ascii="Century Gothic" w:hAnsi="Century Gothic" w:cs="Arial"/>
                  <w:b/>
                  <w:noProof/>
                  <w:sz w:val="16"/>
                  <w:szCs w:val="16"/>
                </w:rPr>
                <w:fldChar w:fldCharType="end"/>
              </w:r>
            </w:p>
          </w:sdtContent>
        </w:sdt>
      </w:tc>
    </w:tr>
  </w:tbl>
  <w:p w14:paraId="0DAC707A" w14:textId="77777777" w:rsidR="00CC21EA" w:rsidRPr="00AE7691" w:rsidRDefault="00673573" w:rsidP="00AE7691">
    <w:pPr>
      <w:pStyle w:val="Piedepgina"/>
      <w:jc w:val="right"/>
      <w:rPr>
        <w:rFonts w:ascii="Arial" w:hAnsi="Arial" w:cs="Arial"/>
        <w:sz w:val="20"/>
        <w:szCs w:val="20"/>
      </w:rPr>
    </w:pPr>
    <w:r>
      <w:rPr>
        <w:noProof/>
        <w:lang w:eastAsia="es-MX"/>
      </w:rPr>
      <mc:AlternateContent>
        <mc:Choice Requires="wps">
          <w:drawing>
            <wp:anchor distT="0" distB="0" distL="114300" distR="114300" simplePos="0" relativeHeight="251671552" behindDoc="0" locked="0" layoutInCell="1" allowOverlap="1" wp14:anchorId="561FF178" wp14:editId="227F79F6">
              <wp:simplePos x="0" y="0"/>
              <wp:positionH relativeFrom="column">
                <wp:posOffset>-628650</wp:posOffset>
              </wp:positionH>
              <wp:positionV relativeFrom="paragraph">
                <wp:posOffset>89535</wp:posOffset>
              </wp:positionV>
              <wp:extent cx="7823835" cy="304800"/>
              <wp:effectExtent l="0" t="0" r="5715" b="0"/>
              <wp:wrapNone/>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304800"/>
                      </a:xfrm>
                      <a:prstGeom prst="rect">
                        <a:avLst/>
                      </a:prstGeom>
                      <a:solidFill>
                        <a:srgbClr val="FF8300"/>
                      </a:solidFill>
                      <a:ln>
                        <a:noFill/>
                      </a:ln>
                    </wps:spPr>
                    <wps:txb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561FF178" id="Rectángulo 3" o:spid="_x0000_s1026" style="position:absolute;left:0;text-align:left;margin-left:-49.5pt;margin-top:7.05pt;width:616.05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" fillcolor="#ff8300" stroked="f">
              <v:textbox>
                <w:txbxContent>
                  <w:p w14:paraId="3D73AA64" w14:textId="77777777" w:rsidR="00777B35" w:rsidRPr="00043A0B" w:rsidRDefault="00777B35" w:rsidP="00777B35">
                    <w:pPr>
                      <w:jc w:val="center"/>
                      <w:rPr>
                        <w:b/>
                        <w:color w:val="323E4F" w:themeColor="text2" w:themeShade="BF"/>
                      </w:rPr>
                    </w:pPr>
                    <w:r w:rsidRPr="00043A0B">
                      <w:rPr>
                        <w:b/>
                        <w:color w:val="323E4F" w:themeColor="text2" w:themeShade="BF"/>
                        <w:spacing w:val="20"/>
                        <w:lang w:val="es-ES"/>
                      </w:rPr>
                      <w:t>programas.app.jalisco.gob.mx</w:t>
                    </w:r>
                  </w:p>
                </w:txbxContent>
              </v:textbox>
            </v:rect>
          </w:pict>
        </mc:Fallback>
      </mc:AlternateContent>
    </w:r>
    <w:r w:rsidR="00AE7691">
      <w:rPr>
        <w:rFonts w:ascii="Arial" w:hAnsi="Arial" w:cs="Arial"/>
        <w:sz w:val="20"/>
        <w:szCs w:val="20"/>
      </w:rPr>
      <w:t xml:space="preserve"> </w:t>
    </w:r>
    <w:sdt>
      <w:sdtPr>
        <w:rPr>
          <w:rFonts w:ascii="Arial" w:hAnsi="Arial" w:cs="Arial"/>
          <w:sz w:val="20"/>
          <w:szCs w:val="20"/>
        </w:rPr>
        <w:id w:val="-1673488533"/>
        <w:docPartObj>
          <w:docPartGallery w:val="Page Numbers (Bottom of Page)"/>
          <w:docPartUnique/>
        </w:docPartObj>
      </w:sdtPr>
      <w:sdtEndPr/>
      <w:sdtContent/>
    </w:sdt>
    <w:r>
      <w:rPr>
        <w:rFonts w:ascii="Times New Roman" w:hAnsi="Times New Roman" w:cs="Times New Roman"/>
        <w:noProof/>
        <w:sz w:val="24"/>
        <w:szCs w:val="24"/>
        <w:lang w:eastAsia="es-MX"/>
      </w:rPr>
      <mc:AlternateContent>
        <mc:Choice Requires="wps">
          <w:drawing>
            <wp:anchor distT="0" distB="0" distL="114300" distR="114300" simplePos="0" relativeHeight="251669504" behindDoc="0" locked="0" layoutInCell="1" allowOverlap="1" wp14:anchorId="0F76A564" wp14:editId="55B3AAB2">
              <wp:simplePos x="0" y="0"/>
              <wp:positionH relativeFrom="column">
                <wp:posOffset>-103505</wp:posOffset>
              </wp:positionH>
              <wp:positionV relativeFrom="paragraph">
                <wp:posOffset>9768205</wp:posOffset>
              </wp:positionV>
              <wp:extent cx="7823835" cy="175895"/>
              <wp:effectExtent l="0" t="0" r="0" b="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640CCD8" id="Rectángulo 2" o:spid="_x0000_s1026" style="position:absolute;margin-left:-8.15pt;margin-top:769.15pt;width:616.05pt;height:13.8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" fillcolor="#ff8300" stroked="f"/>
          </w:pict>
        </mc:Fallback>
      </mc:AlternateContent>
    </w:r>
    <w:r>
      <w:rPr>
        <w:rFonts w:ascii="Times New Roman" w:hAnsi="Times New Roman" w:cs="Times New Roman"/>
        <w:noProof/>
        <w:sz w:val="24"/>
        <w:szCs w:val="24"/>
        <w:lang w:eastAsia="es-MX"/>
      </w:rPr>
      <mc:AlternateContent>
        <mc:Choice Requires="wps">
          <w:drawing>
            <wp:anchor distT="0" distB="0" distL="114300" distR="114300" simplePos="0" relativeHeight="251667456" behindDoc="0" locked="0" layoutInCell="1" allowOverlap="1" wp14:anchorId="68A83F6F" wp14:editId="19967E30">
              <wp:simplePos x="0" y="0"/>
              <wp:positionH relativeFrom="column">
                <wp:posOffset>-103505</wp:posOffset>
              </wp:positionH>
              <wp:positionV relativeFrom="paragraph">
                <wp:posOffset>9768205</wp:posOffset>
              </wp:positionV>
              <wp:extent cx="7823835" cy="175895"/>
              <wp:effectExtent l="0" t="0" r="0" b="0"/>
              <wp:wrapNone/>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823835" cy="175895"/>
                      </a:xfrm>
                      <a:prstGeom prst="rect">
                        <a:avLst/>
                      </a:prstGeom>
                      <a:solidFill>
                        <a:srgbClr val="FF8300"/>
                      </a:solidFill>
                      <a:ln>
                        <a:noFill/>
                      </a:ln>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2A901FD7" id="Rectángulo 1" o:spid="_x0000_s1026" style="position:absolute;margin-left:-8.15pt;margin-top:769.15pt;width:616.05pt;height:13.8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" fillcolor="#ff8300" stroked="f"/>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4A2C6C" w14:textId="77777777" w:rsidR="0049043A" w:rsidRDefault="0049043A" w:rsidP="007B1FEB">
      <w:pPr>
        <w:spacing w:after="0" w:line="240" w:lineRule="auto"/>
      </w:pPr>
      <w:r>
        <w:separator/>
      </w:r>
    </w:p>
  </w:footnote>
  <w:footnote w:type="continuationSeparator" w:id="0">
    <w:p w14:paraId="2D083BEF" w14:textId="77777777" w:rsidR="0049043A" w:rsidRDefault="0049043A" w:rsidP="007B1FE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0"/>
      <w:gridCol w:w="3403"/>
      <w:gridCol w:w="3403"/>
    </w:tblGrid>
    <w:tr w:rsidR="00E36D60" w14:paraId="706B41C8" w14:textId="77777777" w:rsidTr="003255DE">
      <w:trPr>
        <w:trHeight w:val="851"/>
      </w:trPr>
      <w:tc>
        <w:tcPr>
          <w:tcW w:w="1666" w:type="pct"/>
          <w:shd w:val="clear" w:color="auto" w:fill="auto"/>
        </w:tcPr>
        <w:p w14:paraId="26ED16CE" w14:textId="77777777" w:rsidR="00E36D60" w:rsidRDefault="003255DE" w:rsidP="00CB7A0D">
          <w:pPr>
            <w:pStyle w:val="Encabezado"/>
            <w:rPr>
              <w:rFonts w:ascii="Arial" w:hAnsi="Arial" w:cs="Arial"/>
              <w:color w:val="404040" w:themeColor="text1" w:themeTint="BF"/>
              <w:sz w:val="18"/>
              <w:szCs w:val="18"/>
            </w:rPr>
          </w:pPr>
          <w:r w:rsidRPr="00CB7A0D">
            <w:rPr>
              <w:noProof/>
              <w:color w:val="404040" w:themeColor="text1" w:themeTint="BF"/>
              <w:sz w:val="16"/>
              <w:szCs w:val="16"/>
              <w:lang w:eastAsia="es-MX"/>
            </w:rPr>
            <w:drawing>
              <wp:anchor distT="0" distB="0" distL="114300" distR="114300" simplePos="0" relativeHeight="251663360" behindDoc="0" locked="0" layoutInCell="1" allowOverlap="1" wp14:anchorId="6D16F6C7" wp14:editId="25063255">
                <wp:simplePos x="0" y="0"/>
                <wp:positionH relativeFrom="column">
                  <wp:posOffset>17145</wp:posOffset>
                </wp:positionH>
                <wp:positionV relativeFrom="paragraph">
                  <wp:posOffset>-40005</wp:posOffset>
                </wp:positionV>
                <wp:extent cx="2047875" cy="548201"/>
                <wp:effectExtent l="0" t="0" r="0" b="4445"/>
                <wp:wrapNone/>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6272" t="11225" r="5052" b="13575"/>
                        <a:stretch/>
                      </pic:blipFill>
                      <pic:spPr bwMode="auto">
                        <a:xfrm>
                          <a:off x="0" y="0"/>
                          <a:ext cx="2047875" cy="54820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667" w:type="pct"/>
          <w:shd w:val="clear" w:color="auto" w:fill="auto"/>
        </w:tcPr>
        <w:p w14:paraId="7090945B" w14:textId="77777777" w:rsidR="00E36D60" w:rsidRDefault="003255DE" w:rsidP="00E36D60">
          <w:pPr>
            <w:pStyle w:val="Encabezado"/>
            <w:jc w:val="center"/>
            <w:rPr>
              <w:rFonts w:ascii="Arial" w:hAnsi="Arial" w:cs="Arial"/>
              <w:color w:val="404040" w:themeColor="text1" w:themeTint="BF"/>
              <w:sz w:val="18"/>
              <w:szCs w:val="18"/>
            </w:rPr>
          </w:pPr>
          <w:r>
            <w:rPr>
              <w:rFonts w:ascii="Nutmeg Book" w:eastAsia="Nutmeg Book" w:hAnsi="Nutmeg Book" w:cs="Nutmeg Book"/>
              <w:noProof/>
              <w:sz w:val="26"/>
              <w:szCs w:val="26"/>
              <w:lang w:eastAsia="es-MX"/>
            </w:rPr>
            <w:drawing>
              <wp:anchor distT="0" distB="0" distL="114300" distR="114300" simplePos="0" relativeHeight="251673600" behindDoc="0" locked="0" layoutInCell="1" allowOverlap="1" wp14:anchorId="79C5B6AD" wp14:editId="30FDF5D9">
                <wp:simplePos x="0" y="0"/>
                <wp:positionH relativeFrom="column">
                  <wp:posOffset>837565</wp:posOffset>
                </wp:positionH>
                <wp:positionV relativeFrom="paragraph">
                  <wp:posOffset>-44450</wp:posOffset>
                </wp:positionV>
                <wp:extent cx="1257300" cy="505185"/>
                <wp:effectExtent l="0" t="0" r="0" b="9525"/>
                <wp:wrapNone/>
                <wp:docPr id="19"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 name="Picture 511"/>
                        <pic:cNvPicPr/>
                      </pic:nvPicPr>
                      <pic:blipFill>
                        <a:blip r:embed="rId2">
                          <a:extLst>
                            <a:ext uri="{28A0092B-C50C-407E-A947-70E740481C1C}">
                              <a14:useLocalDpi xmlns:a14="http://schemas.microsoft.com/office/drawing/2010/main" val="0"/>
                            </a:ext>
                          </a:extLst>
                        </a:blip>
                        <a:stretch>
                          <a:fillRect/>
                        </a:stretch>
                      </pic:blipFill>
                      <pic:spPr>
                        <a:xfrm>
                          <a:off x="0" y="0"/>
                          <a:ext cx="1257300" cy="505185"/>
                        </a:xfrm>
                        <a:prstGeom prst="rect">
                          <a:avLst/>
                        </a:prstGeom>
                      </pic:spPr>
                    </pic:pic>
                  </a:graphicData>
                </a:graphic>
                <wp14:sizeRelH relativeFrom="page">
                  <wp14:pctWidth>0</wp14:pctWidth>
                </wp14:sizeRelH>
                <wp14:sizeRelV relativeFrom="page">
                  <wp14:pctHeight>0</wp14:pctHeight>
                </wp14:sizeRelV>
              </wp:anchor>
            </w:drawing>
          </w:r>
        </w:p>
      </w:tc>
      <w:tc>
        <w:tcPr>
          <w:tcW w:w="1667" w:type="pct"/>
          <w:shd w:val="clear" w:color="auto" w:fill="auto"/>
        </w:tcPr>
        <w:p w14:paraId="759857BF" w14:textId="77777777" w:rsidR="00E36D60" w:rsidRPr="00E36D60" w:rsidRDefault="003255DE" w:rsidP="00CB7A0D">
          <w:pPr>
            <w:pStyle w:val="Encabezado"/>
            <w:rPr>
              <w:rFonts w:ascii="Arial" w:hAnsi="Arial" w:cs="Arial"/>
              <w:color w:val="404040" w:themeColor="text1" w:themeTint="BF"/>
              <w:sz w:val="20"/>
              <w:szCs w:val="20"/>
            </w:rPr>
          </w:pPr>
          <w:r w:rsidRPr="00E36D60">
            <w:rPr>
              <w:noProof/>
              <w:color w:val="404040" w:themeColor="text1" w:themeTint="BF"/>
              <w:sz w:val="16"/>
              <w:szCs w:val="16"/>
              <w:lang w:eastAsia="es-MX"/>
            </w:rPr>
            <w:drawing>
              <wp:anchor distT="0" distB="0" distL="114300" distR="114300" simplePos="0" relativeHeight="251665408" behindDoc="0" locked="0" layoutInCell="1" allowOverlap="1" wp14:anchorId="19CD47FF" wp14:editId="734FC405">
                <wp:simplePos x="0" y="0"/>
                <wp:positionH relativeFrom="column">
                  <wp:posOffset>1122680</wp:posOffset>
                </wp:positionH>
                <wp:positionV relativeFrom="paragraph">
                  <wp:posOffset>-190500</wp:posOffset>
                </wp:positionV>
                <wp:extent cx="694794" cy="657225"/>
                <wp:effectExtent l="0" t="0" r="0" b="0"/>
                <wp:wrapNone/>
                <wp:docPr id="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rotWithShape="1">
                        <a:blip r:embed="rId3">
                          <a:extLst>
                            <a:ext uri="{28A0092B-C50C-407E-A947-70E740481C1C}">
                              <a14:useLocalDpi xmlns:a14="http://schemas.microsoft.com/office/drawing/2010/main" val="0"/>
                            </a:ext>
                          </a:extLst>
                        </a:blip>
                        <a:srcRect l="5009" t="8174" r="76056" b="9412"/>
                        <a:stretch/>
                      </pic:blipFill>
                      <pic:spPr bwMode="auto">
                        <a:xfrm>
                          <a:off x="0" y="0"/>
                          <a:ext cx="694794" cy="6572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bl>
  <w:p w14:paraId="5DC7782F" w14:textId="77777777" w:rsidR="00CC21EA" w:rsidRPr="00E36D60" w:rsidRDefault="00CC21EA" w:rsidP="00CB7A0D">
    <w:pPr>
      <w:pStyle w:val="Encabezado"/>
      <w:rPr>
        <w:rFonts w:ascii="Arial" w:hAnsi="Arial" w:cs="Arial"/>
        <w:color w:val="404040" w:themeColor="text1" w:themeTint="BF"/>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0746B"/>
    <w:multiLevelType w:val="multilevel"/>
    <w:tmpl w:val="FF2AA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9939B3"/>
    <w:multiLevelType w:val="multilevel"/>
    <w:tmpl w:val="AE6255AE"/>
    <w:lvl w:ilvl="0">
      <w:start w:val="1"/>
      <w:numFmt w:val="decimal"/>
      <w:lvlText w:val="%1."/>
      <w:lvlJc w:val="left"/>
      <w:pPr>
        <w:ind w:left="4755" w:hanging="360"/>
      </w:pPr>
      <w:rPr>
        <w:rFonts w:hint="default"/>
        <w:b/>
        <w:color w:val="767171" w:themeColor="background2" w:themeShade="80"/>
      </w:rPr>
    </w:lvl>
    <w:lvl w:ilvl="1">
      <w:start w:val="1"/>
      <w:numFmt w:val="upperRoman"/>
      <w:lvlText w:val="%2."/>
      <w:lvlJc w:val="left"/>
      <w:pPr>
        <w:ind w:left="5475" w:hanging="360"/>
      </w:pPr>
      <w:rPr>
        <w:rFonts w:hint="default"/>
      </w:rPr>
    </w:lvl>
    <w:lvl w:ilvl="2">
      <w:start w:val="1"/>
      <w:numFmt w:val="lowerLetter"/>
      <w:lvlText w:val="%3."/>
      <w:lvlJc w:val="right"/>
      <w:pPr>
        <w:ind w:left="6195" w:hanging="180"/>
      </w:pPr>
      <w:rPr>
        <w:rFonts w:hint="default"/>
      </w:rPr>
    </w:lvl>
    <w:lvl w:ilvl="3">
      <w:start w:val="1"/>
      <w:numFmt w:val="decimal"/>
      <w:lvlText w:val="%4."/>
      <w:lvlJc w:val="left"/>
      <w:pPr>
        <w:ind w:left="6915" w:hanging="360"/>
      </w:pPr>
      <w:rPr>
        <w:rFonts w:hint="default"/>
      </w:rPr>
    </w:lvl>
    <w:lvl w:ilvl="4">
      <w:start w:val="1"/>
      <w:numFmt w:val="lowerLetter"/>
      <w:lvlText w:val="%5."/>
      <w:lvlJc w:val="left"/>
      <w:pPr>
        <w:ind w:left="7635" w:hanging="360"/>
      </w:pPr>
      <w:rPr>
        <w:rFonts w:hint="default"/>
      </w:rPr>
    </w:lvl>
    <w:lvl w:ilvl="5">
      <w:start w:val="1"/>
      <w:numFmt w:val="lowerRoman"/>
      <w:lvlText w:val="%6."/>
      <w:lvlJc w:val="right"/>
      <w:pPr>
        <w:ind w:left="8355" w:hanging="180"/>
      </w:pPr>
      <w:rPr>
        <w:rFonts w:hint="default"/>
      </w:rPr>
    </w:lvl>
    <w:lvl w:ilvl="6">
      <w:start w:val="1"/>
      <w:numFmt w:val="decimal"/>
      <w:lvlText w:val="%7."/>
      <w:lvlJc w:val="left"/>
      <w:pPr>
        <w:ind w:left="9075" w:hanging="360"/>
      </w:pPr>
      <w:rPr>
        <w:rFonts w:hint="default"/>
      </w:rPr>
    </w:lvl>
    <w:lvl w:ilvl="7">
      <w:start w:val="1"/>
      <w:numFmt w:val="lowerLetter"/>
      <w:lvlText w:val="%8."/>
      <w:lvlJc w:val="left"/>
      <w:pPr>
        <w:ind w:left="9795" w:hanging="360"/>
      </w:pPr>
      <w:rPr>
        <w:rFonts w:hint="default"/>
      </w:rPr>
    </w:lvl>
    <w:lvl w:ilvl="8">
      <w:start w:val="1"/>
      <w:numFmt w:val="lowerRoman"/>
      <w:lvlText w:val="%9."/>
      <w:lvlJc w:val="right"/>
      <w:pPr>
        <w:ind w:left="10515" w:hanging="180"/>
      </w:pPr>
      <w:rPr>
        <w:rFonts w:hint="default"/>
      </w:rPr>
    </w:lvl>
  </w:abstractNum>
  <w:abstractNum w:abstractNumId="2" w15:restartNumberingAfterBreak="0">
    <w:nsid w:val="79CF4041"/>
    <w:multiLevelType w:val="multilevel"/>
    <w:tmpl w:val="9F86795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 w:numId="2">
    <w:abstractNumId w:val="1"/>
  </w:num>
  <w:num w:numId="3">
    <w:abstractNumId w:val="2"/>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550"/>
    <w:rsid w:val="00011D35"/>
    <w:rsid w:val="000207F0"/>
    <w:rsid w:val="0003521A"/>
    <w:rsid w:val="00043A0B"/>
    <w:rsid w:val="000554E9"/>
    <w:rsid w:val="00070040"/>
    <w:rsid w:val="000741E0"/>
    <w:rsid w:val="00076C77"/>
    <w:rsid w:val="0009330C"/>
    <w:rsid w:val="000A3E6C"/>
    <w:rsid w:val="000B1058"/>
    <w:rsid w:val="000D0550"/>
    <w:rsid w:val="000F7ABA"/>
    <w:rsid w:val="00121727"/>
    <w:rsid w:val="00147AF9"/>
    <w:rsid w:val="00177089"/>
    <w:rsid w:val="00183D6D"/>
    <w:rsid w:val="001A41CE"/>
    <w:rsid w:val="001B00F3"/>
    <w:rsid w:val="001B5D19"/>
    <w:rsid w:val="001E270F"/>
    <w:rsid w:val="00202EFB"/>
    <w:rsid w:val="00213273"/>
    <w:rsid w:val="002161C2"/>
    <w:rsid w:val="002302D1"/>
    <w:rsid w:val="00232252"/>
    <w:rsid w:val="002463DE"/>
    <w:rsid w:val="00255BCC"/>
    <w:rsid w:val="002723DF"/>
    <w:rsid w:val="002A3FAE"/>
    <w:rsid w:val="003255DE"/>
    <w:rsid w:val="0035394A"/>
    <w:rsid w:val="003555FD"/>
    <w:rsid w:val="00362F42"/>
    <w:rsid w:val="003756F7"/>
    <w:rsid w:val="00380FDA"/>
    <w:rsid w:val="0038279D"/>
    <w:rsid w:val="003A4F07"/>
    <w:rsid w:val="003C42E8"/>
    <w:rsid w:val="003C7704"/>
    <w:rsid w:val="00443319"/>
    <w:rsid w:val="00451ECE"/>
    <w:rsid w:val="00472E74"/>
    <w:rsid w:val="0049043A"/>
    <w:rsid w:val="004A1AB8"/>
    <w:rsid w:val="004C5626"/>
    <w:rsid w:val="004C6EBE"/>
    <w:rsid w:val="004C7264"/>
    <w:rsid w:val="004D0D17"/>
    <w:rsid w:val="004D1623"/>
    <w:rsid w:val="004D6767"/>
    <w:rsid w:val="004E169B"/>
    <w:rsid w:val="0051275C"/>
    <w:rsid w:val="005577BA"/>
    <w:rsid w:val="00575081"/>
    <w:rsid w:val="00593841"/>
    <w:rsid w:val="005B4BA5"/>
    <w:rsid w:val="005C2F67"/>
    <w:rsid w:val="005C673B"/>
    <w:rsid w:val="005F57B2"/>
    <w:rsid w:val="006075E5"/>
    <w:rsid w:val="006513D2"/>
    <w:rsid w:val="0065650A"/>
    <w:rsid w:val="00673573"/>
    <w:rsid w:val="006A7331"/>
    <w:rsid w:val="006F6EE8"/>
    <w:rsid w:val="00751B1B"/>
    <w:rsid w:val="00760328"/>
    <w:rsid w:val="00777B35"/>
    <w:rsid w:val="0079720D"/>
    <w:rsid w:val="007B1FEB"/>
    <w:rsid w:val="007B6317"/>
    <w:rsid w:val="007C24C7"/>
    <w:rsid w:val="007D1C39"/>
    <w:rsid w:val="007F5A90"/>
    <w:rsid w:val="00811BEC"/>
    <w:rsid w:val="0081217B"/>
    <w:rsid w:val="00822FF0"/>
    <w:rsid w:val="00835BEA"/>
    <w:rsid w:val="00837687"/>
    <w:rsid w:val="00842EFE"/>
    <w:rsid w:val="00891878"/>
    <w:rsid w:val="008C0BDE"/>
    <w:rsid w:val="008D5C40"/>
    <w:rsid w:val="008D5EAD"/>
    <w:rsid w:val="008F2E1A"/>
    <w:rsid w:val="00957951"/>
    <w:rsid w:val="00957BBC"/>
    <w:rsid w:val="00960867"/>
    <w:rsid w:val="009901DE"/>
    <w:rsid w:val="009E0775"/>
    <w:rsid w:val="009E798E"/>
    <w:rsid w:val="00A64AC1"/>
    <w:rsid w:val="00A6602C"/>
    <w:rsid w:val="00A81DA9"/>
    <w:rsid w:val="00AD7B00"/>
    <w:rsid w:val="00AE7691"/>
    <w:rsid w:val="00AF5580"/>
    <w:rsid w:val="00B126D3"/>
    <w:rsid w:val="00B127F2"/>
    <w:rsid w:val="00B13478"/>
    <w:rsid w:val="00B16CCD"/>
    <w:rsid w:val="00B479F6"/>
    <w:rsid w:val="00B835C5"/>
    <w:rsid w:val="00BA161D"/>
    <w:rsid w:val="00BA5332"/>
    <w:rsid w:val="00C54EF1"/>
    <w:rsid w:val="00C66B44"/>
    <w:rsid w:val="00C72F80"/>
    <w:rsid w:val="00C90D9C"/>
    <w:rsid w:val="00C91609"/>
    <w:rsid w:val="00CA635C"/>
    <w:rsid w:val="00CB7A0D"/>
    <w:rsid w:val="00CC21EA"/>
    <w:rsid w:val="00CD2C85"/>
    <w:rsid w:val="00CD715F"/>
    <w:rsid w:val="00CE2DA3"/>
    <w:rsid w:val="00D624CC"/>
    <w:rsid w:val="00D80748"/>
    <w:rsid w:val="00DD32B0"/>
    <w:rsid w:val="00E104FB"/>
    <w:rsid w:val="00E36D60"/>
    <w:rsid w:val="00E40F0E"/>
    <w:rsid w:val="00E57CFB"/>
    <w:rsid w:val="00E70AF9"/>
    <w:rsid w:val="00EA52D4"/>
    <w:rsid w:val="00EB67E5"/>
    <w:rsid w:val="00EC394B"/>
    <w:rsid w:val="00EC4916"/>
    <w:rsid w:val="00ED7560"/>
    <w:rsid w:val="00F02329"/>
    <w:rsid w:val="00F1019E"/>
    <w:rsid w:val="00F138C8"/>
    <w:rsid w:val="00F40472"/>
    <w:rsid w:val="00F47997"/>
    <w:rsid w:val="00F55BA4"/>
    <w:rsid w:val="00F718A2"/>
    <w:rsid w:val="00F879FF"/>
    <w:rsid w:val="00F92CAE"/>
    <w:rsid w:val="00FC005D"/>
    <w:rsid w:val="00FD677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611A27"/>
  <w15:docId w15:val="{12D5B10A-FEAC-4363-80AD-5247F07EC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560"/>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0D0550"/>
    <w:pPr>
      <w:ind w:left="720"/>
      <w:contextualSpacing/>
    </w:pPr>
  </w:style>
  <w:style w:type="paragraph" w:styleId="Encabezado">
    <w:name w:val="header"/>
    <w:basedOn w:val="Normal"/>
    <w:link w:val="EncabezadoCar"/>
    <w:uiPriority w:val="99"/>
    <w:unhideWhenUsed/>
    <w:rsid w:val="007B1FE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7B1FEB"/>
  </w:style>
  <w:style w:type="paragraph" w:styleId="Piedepgina">
    <w:name w:val="footer"/>
    <w:basedOn w:val="Normal"/>
    <w:link w:val="PiedepginaCar"/>
    <w:uiPriority w:val="99"/>
    <w:unhideWhenUsed/>
    <w:rsid w:val="007B1FE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7B1FEB"/>
  </w:style>
  <w:style w:type="table" w:styleId="Tablaconcuadrcula">
    <w:name w:val="Table Grid"/>
    <w:basedOn w:val="Tablanormal"/>
    <w:uiPriority w:val="39"/>
    <w:rsid w:val="004C6E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9160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91609"/>
    <w:rPr>
      <w:rFonts w:ascii="Segoe UI" w:hAnsi="Segoe UI" w:cs="Segoe UI"/>
      <w:sz w:val="18"/>
      <w:szCs w:val="18"/>
    </w:rPr>
  </w:style>
  <w:style w:type="table" w:customStyle="1" w:styleId="Tabladecuadrcula5oscura-nfasis31">
    <w:name w:val="Tabla de cuadrícula 5 oscura - Énfasis 31"/>
    <w:basedOn w:val="Tablanormal"/>
    <w:uiPriority w:val="50"/>
    <w:rsid w:val="00575081"/>
    <w:pPr>
      <w:spacing w:after="0" w:line="240" w:lineRule="auto"/>
    </w:pPr>
    <w:tblPr>
      <w:tblStyleRowBandSize w:val="1"/>
      <w:tblStyleColBandSize w:val="1"/>
      <w:tblBorders>
        <w:top w:val="single" w:sz="4" w:space="0" w:color="D5DCE4" w:themeColor="text2" w:themeTint="33"/>
        <w:left w:val="single" w:sz="4" w:space="0" w:color="D5DCE4" w:themeColor="text2" w:themeTint="33"/>
        <w:bottom w:val="single" w:sz="4" w:space="0" w:color="D5DCE4" w:themeColor="text2" w:themeTint="33"/>
        <w:right w:val="single" w:sz="4" w:space="0" w:color="D5DCE4" w:themeColor="text2" w:themeTint="33"/>
        <w:insideH w:val="single" w:sz="4" w:space="0" w:color="D5DCE4" w:themeColor="text2" w:themeTint="33"/>
        <w:insideV w:val="single" w:sz="4" w:space="0" w:color="D5DCE4" w:themeColor="text2" w:themeTint="33"/>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NormalWeb">
    <w:name w:val="Normal (Web)"/>
    <w:basedOn w:val="Normal"/>
    <w:uiPriority w:val="99"/>
    <w:semiHidden/>
    <w:unhideWhenUsed/>
    <w:rsid w:val="003C42E8"/>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Textoennegrita">
    <w:name w:val="Strong"/>
    <w:basedOn w:val="Fuentedeprrafopredeter"/>
    <w:uiPriority w:val="22"/>
    <w:qFormat/>
    <w:rsid w:val="00CD2C8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73824">
      <w:bodyDiv w:val="1"/>
      <w:marLeft w:val="0"/>
      <w:marRight w:val="0"/>
      <w:marTop w:val="0"/>
      <w:marBottom w:val="0"/>
      <w:divBdr>
        <w:top w:val="none" w:sz="0" w:space="0" w:color="auto"/>
        <w:left w:val="none" w:sz="0" w:space="0" w:color="auto"/>
        <w:bottom w:val="none" w:sz="0" w:space="0" w:color="auto"/>
        <w:right w:val="none" w:sz="0" w:space="0" w:color="auto"/>
      </w:divBdr>
    </w:div>
    <w:div w:id="439909844">
      <w:bodyDiv w:val="1"/>
      <w:marLeft w:val="0"/>
      <w:marRight w:val="0"/>
      <w:marTop w:val="0"/>
      <w:marBottom w:val="0"/>
      <w:divBdr>
        <w:top w:val="none" w:sz="0" w:space="0" w:color="auto"/>
        <w:left w:val="none" w:sz="0" w:space="0" w:color="auto"/>
        <w:bottom w:val="none" w:sz="0" w:space="0" w:color="auto"/>
        <w:right w:val="none" w:sz="0" w:space="0" w:color="auto"/>
      </w:divBdr>
    </w:div>
    <w:div w:id="589705211">
      <w:bodyDiv w:val="1"/>
      <w:marLeft w:val="0"/>
      <w:marRight w:val="0"/>
      <w:marTop w:val="0"/>
      <w:marBottom w:val="0"/>
      <w:divBdr>
        <w:top w:val="none" w:sz="0" w:space="0" w:color="auto"/>
        <w:left w:val="none" w:sz="0" w:space="0" w:color="auto"/>
        <w:bottom w:val="none" w:sz="0" w:space="0" w:color="auto"/>
        <w:right w:val="none" w:sz="0" w:space="0" w:color="auto"/>
      </w:divBdr>
    </w:div>
    <w:div w:id="613246780">
      <w:bodyDiv w:val="1"/>
      <w:marLeft w:val="0"/>
      <w:marRight w:val="0"/>
      <w:marTop w:val="0"/>
      <w:marBottom w:val="0"/>
      <w:divBdr>
        <w:top w:val="none" w:sz="0" w:space="0" w:color="auto"/>
        <w:left w:val="none" w:sz="0" w:space="0" w:color="auto"/>
        <w:bottom w:val="none" w:sz="0" w:space="0" w:color="auto"/>
        <w:right w:val="none" w:sz="0" w:space="0" w:color="auto"/>
      </w:divBdr>
    </w:div>
    <w:div w:id="655647774">
      <w:bodyDiv w:val="1"/>
      <w:marLeft w:val="0"/>
      <w:marRight w:val="0"/>
      <w:marTop w:val="0"/>
      <w:marBottom w:val="0"/>
      <w:divBdr>
        <w:top w:val="none" w:sz="0" w:space="0" w:color="auto"/>
        <w:left w:val="none" w:sz="0" w:space="0" w:color="auto"/>
        <w:bottom w:val="none" w:sz="0" w:space="0" w:color="auto"/>
        <w:right w:val="none" w:sz="0" w:space="0" w:color="auto"/>
      </w:divBdr>
    </w:div>
    <w:div w:id="711152968">
      <w:bodyDiv w:val="1"/>
      <w:marLeft w:val="0"/>
      <w:marRight w:val="0"/>
      <w:marTop w:val="0"/>
      <w:marBottom w:val="0"/>
      <w:divBdr>
        <w:top w:val="none" w:sz="0" w:space="0" w:color="auto"/>
        <w:left w:val="none" w:sz="0" w:space="0" w:color="auto"/>
        <w:bottom w:val="none" w:sz="0" w:space="0" w:color="auto"/>
        <w:right w:val="none" w:sz="0" w:space="0" w:color="auto"/>
      </w:divBdr>
    </w:div>
    <w:div w:id="844366994">
      <w:bodyDiv w:val="1"/>
      <w:marLeft w:val="0"/>
      <w:marRight w:val="0"/>
      <w:marTop w:val="0"/>
      <w:marBottom w:val="0"/>
      <w:divBdr>
        <w:top w:val="none" w:sz="0" w:space="0" w:color="auto"/>
        <w:left w:val="none" w:sz="0" w:space="0" w:color="auto"/>
        <w:bottom w:val="none" w:sz="0" w:space="0" w:color="auto"/>
        <w:right w:val="none" w:sz="0" w:space="0" w:color="auto"/>
      </w:divBdr>
    </w:div>
    <w:div w:id="948976386">
      <w:bodyDiv w:val="1"/>
      <w:marLeft w:val="0"/>
      <w:marRight w:val="0"/>
      <w:marTop w:val="0"/>
      <w:marBottom w:val="0"/>
      <w:divBdr>
        <w:top w:val="none" w:sz="0" w:space="0" w:color="auto"/>
        <w:left w:val="none" w:sz="0" w:space="0" w:color="auto"/>
        <w:bottom w:val="none" w:sz="0" w:space="0" w:color="auto"/>
        <w:right w:val="none" w:sz="0" w:space="0" w:color="auto"/>
      </w:divBdr>
    </w:div>
    <w:div w:id="1160578168">
      <w:bodyDiv w:val="1"/>
      <w:marLeft w:val="0"/>
      <w:marRight w:val="0"/>
      <w:marTop w:val="0"/>
      <w:marBottom w:val="0"/>
      <w:divBdr>
        <w:top w:val="none" w:sz="0" w:space="0" w:color="auto"/>
        <w:left w:val="none" w:sz="0" w:space="0" w:color="auto"/>
        <w:bottom w:val="none" w:sz="0" w:space="0" w:color="auto"/>
        <w:right w:val="none" w:sz="0" w:space="0" w:color="auto"/>
      </w:divBdr>
      <w:divsChild>
        <w:div w:id="1600672708">
          <w:marLeft w:val="0"/>
          <w:marRight w:val="0"/>
          <w:marTop w:val="0"/>
          <w:marBottom w:val="0"/>
          <w:divBdr>
            <w:top w:val="none" w:sz="0" w:space="0" w:color="auto"/>
            <w:left w:val="none" w:sz="0" w:space="0" w:color="auto"/>
            <w:bottom w:val="none" w:sz="0" w:space="0" w:color="auto"/>
            <w:right w:val="none" w:sz="0" w:space="0" w:color="auto"/>
          </w:divBdr>
        </w:div>
        <w:div w:id="1178352557">
          <w:marLeft w:val="0"/>
          <w:marRight w:val="0"/>
          <w:marTop w:val="0"/>
          <w:marBottom w:val="0"/>
          <w:divBdr>
            <w:top w:val="none" w:sz="0" w:space="0" w:color="auto"/>
            <w:left w:val="none" w:sz="0" w:space="0" w:color="auto"/>
            <w:bottom w:val="none" w:sz="0" w:space="0" w:color="auto"/>
            <w:right w:val="none" w:sz="0" w:space="0" w:color="auto"/>
          </w:divBdr>
        </w:div>
      </w:divsChild>
    </w:div>
    <w:div w:id="1388067899">
      <w:bodyDiv w:val="1"/>
      <w:marLeft w:val="0"/>
      <w:marRight w:val="0"/>
      <w:marTop w:val="0"/>
      <w:marBottom w:val="0"/>
      <w:divBdr>
        <w:top w:val="none" w:sz="0" w:space="0" w:color="auto"/>
        <w:left w:val="none" w:sz="0" w:space="0" w:color="auto"/>
        <w:bottom w:val="none" w:sz="0" w:space="0" w:color="auto"/>
        <w:right w:val="none" w:sz="0" w:space="0" w:color="auto"/>
      </w:divBdr>
    </w:div>
    <w:div w:id="1601257133">
      <w:bodyDiv w:val="1"/>
      <w:marLeft w:val="0"/>
      <w:marRight w:val="0"/>
      <w:marTop w:val="0"/>
      <w:marBottom w:val="0"/>
      <w:divBdr>
        <w:top w:val="none" w:sz="0" w:space="0" w:color="auto"/>
        <w:left w:val="none" w:sz="0" w:space="0" w:color="auto"/>
        <w:bottom w:val="none" w:sz="0" w:space="0" w:color="auto"/>
        <w:right w:val="none" w:sz="0" w:space="0" w:color="auto"/>
      </w:divBdr>
    </w:div>
    <w:div w:id="1652514503">
      <w:bodyDiv w:val="1"/>
      <w:marLeft w:val="0"/>
      <w:marRight w:val="0"/>
      <w:marTop w:val="0"/>
      <w:marBottom w:val="0"/>
      <w:divBdr>
        <w:top w:val="none" w:sz="0" w:space="0" w:color="auto"/>
        <w:left w:val="none" w:sz="0" w:space="0" w:color="auto"/>
        <w:bottom w:val="none" w:sz="0" w:space="0" w:color="auto"/>
        <w:right w:val="none" w:sz="0" w:space="0" w:color="auto"/>
      </w:divBdr>
      <w:divsChild>
        <w:div w:id="1387026702">
          <w:marLeft w:val="0"/>
          <w:marRight w:val="0"/>
          <w:marTop w:val="0"/>
          <w:marBottom w:val="0"/>
          <w:divBdr>
            <w:top w:val="none" w:sz="0" w:space="0" w:color="auto"/>
            <w:left w:val="none" w:sz="0" w:space="0" w:color="auto"/>
            <w:bottom w:val="none" w:sz="0" w:space="0" w:color="auto"/>
            <w:right w:val="none" w:sz="0" w:space="0" w:color="auto"/>
          </w:divBdr>
        </w:div>
      </w:divsChild>
    </w:div>
    <w:div w:id="1759132420">
      <w:bodyDiv w:val="1"/>
      <w:marLeft w:val="0"/>
      <w:marRight w:val="0"/>
      <w:marTop w:val="0"/>
      <w:marBottom w:val="0"/>
      <w:divBdr>
        <w:top w:val="none" w:sz="0" w:space="0" w:color="auto"/>
        <w:left w:val="none" w:sz="0" w:space="0" w:color="auto"/>
        <w:bottom w:val="none" w:sz="0" w:space="0" w:color="auto"/>
        <w:right w:val="none" w:sz="0" w:space="0" w:color="auto"/>
      </w:divBdr>
    </w:div>
    <w:div w:id="2092726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A9D67-3CC3-4341-B65E-BBF005A3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4</Pages>
  <Words>1294</Words>
  <Characters>7119</Characters>
  <Application>Microsoft Office Word</Application>
  <DocSecurity>0</DocSecurity>
  <Lines>59</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Invitado</dc:creator>
  <cp:lastModifiedBy>Viridiana Álvarez</cp:lastModifiedBy>
  <cp:revision>22</cp:revision>
  <cp:lastPrinted>2025-03-13T17:59:00Z</cp:lastPrinted>
  <dcterms:created xsi:type="dcterms:W3CDTF">2025-03-13T17:45:00Z</dcterms:created>
  <dcterms:modified xsi:type="dcterms:W3CDTF">2026-04-29T22:12:00Z</dcterms:modified>
</cp:coreProperties>
</file>