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5E862" w14:textId="1E0F8D1C" w:rsidR="001A41CE" w:rsidRPr="001A41CE" w:rsidRDefault="003C42E8" w:rsidP="001A41CE">
      <w:pPr>
        <w:pBdr>
          <w:top w:val="single" w:sz="4" w:space="1" w:color="D5DCE4" w:themeColor="text2" w:themeTint="33"/>
          <w:left w:val="single" w:sz="4" w:space="0" w:color="D5DCE4" w:themeColor="text2" w:themeTint="33"/>
          <w:bottom w:val="single" w:sz="4" w:space="1" w:color="D5DCE4" w:themeColor="text2" w:themeTint="33"/>
          <w:right w:val="single" w:sz="4" w:space="4" w:color="D5DCE4" w:themeColor="text2" w:themeTint="33"/>
          <w:between w:val="single" w:sz="4" w:space="1" w:color="D5DCE4" w:themeColor="text2" w:themeTint="33"/>
          <w:bar w:val="single" w:sz="4" w:color="auto"/>
        </w:pBdr>
        <w:shd w:val="clear" w:color="auto" w:fill="8296A9"/>
        <w:spacing w:after="0" w:line="360" w:lineRule="auto"/>
        <w:jc w:val="center"/>
        <w:textAlignment w:val="baseline"/>
        <w:rPr>
          <w:rFonts w:ascii="Arial" w:eastAsia="Times New Roman" w:hAnsi="Arial" w:cs="Arial"/>
          <w:b/>
          <w:bCs/>
          <w:color w:val="FFFFFF" w:themeColor="background1"/>
          <w:sz w:val="10"/>
          <w:szCs w:val="10"/>
          <w:lang w:eastAsia="es-ES_tradnl"/>
        </w:rPr>
      </w:pPr>
      <w:r>
        <w:rPr>
          <w:rFonts w:ascii="Arial" w:eastAsia="Times New Roman" w:hAnsi="Arial" w:cs="Arial"/>
          <w:b/>
          <w:bCs/>
          <w:color w:val="FFFFFF" w:themeColor="background1"/>
          <w:spacing w:val="20"/>
          <w:w w:val="150"/>
          <w:sz w:val="24"/>
          <w:szCs w:val="24"/>
          <w:lang w:eastAsia="es-ES_tradnl"/>
        </w:rPr>
        <w:t>DIAGNÓSTICO</w:t>
      </w:r>
    </w:p>
    <w:p w14:paraId="79B0BD22" w14:textId="0662AB00" w:rsidR="001A41CE" w:rsidRPr="00835BEA" w:rsidRDefault="001A41CE" w:rsidP="001A41CE">
      <w:pPr>
        <w:pStyle w:val="Encabezado"/>
        <w:pBdr>
          <w:top w:val="single" w:sz="4" w:space="1" w:color="D5DCE4" w:themeColor="text2" w:themeTint="33"/>
          <w:left w:val="single" w:sz="4" w:space="4" w:color="D5DCE4" w:themeColor="text2" w:themeTint="33"/>
          <w:bottom w:val="single" w:sz="4" w:space="1" w:color="D5DCE4" w:themeColor="text2" w:themeTint="33"/>
          <w:right w:val="single" w:sz="4" w:space="4" w:color="D5DCE4" w:themeColor="text2" w:themeTint="33"/>
          <w:between w:val="single" w:sz="4" w:space="1" w:color="D5DCE4" w:themeColor="text2" w:themeTint="33"/>
          <w:bar w:val="single" w:sz="4" w:color="auto"/>
        </w:pBdr>
        <w:spacing w:line="276" w:lineRule="auto"/>
        <w:jc w:val="both"/>
        <w:rPr>
          <w:rFonts w:ascii="Arial" w:eastAsia="Times New Roman" w:hAnsi="Arial" w:cs="Arial"/>
          <w:b/>
          <w:bCs/>
          <w:sz w:val="24"/>
          <w:szCs w:val="24"/>
          <w:lang w:eastAsia="es-ES_tradnl"/>
        </w:rPr>
      </w:pPr>
      <w:r w:rsidRPr="001A41CE">
        <w:rPr>
          <w:rFonts w:ascii="Arial" w:eastAsia="Times New Roman" w:hAnsi="Arial" w:cs="Arial"/>
          <w:b/>
          <w:bCs/>
          <w:color w:val="8296A9"/>
          <w:sz w:val="24"/>
          <w:szCs w:val="24"/>
          <w:lang w:eastAsia="es-ES_tradnl"/>
        </w:rPr>
        <w:t>Dependencia:</w:t>
      </w:r>
      <w:r w:rsidR="00835BEA">
        <w:rPr>
          <w:rFonts w:ascii="Arial" w:eastAsia="Times New Roman" w:hAnsi="Arial" w:cs="Arial"/>
          <w:b/>
          <w:bCs/>
          <w:color w:val="8296A9"/>
          <w:sz w:val="24"/>
          <w:szCs w:val="24"/>
          <w:lang w:eastAsia="es-ES_tradnl"/>
        </w:rPr>
        <w:t xml:space="preserve"> </w:t>
      </w:r>
      <w:r w:rsidR="00835BEA" w:rsidRPr="00835BEA">
        <w:rPr>
          <w:rFonts w:ascii="Arial" w:eastAsia="Times New Roman" w:hAnsi="Arial" w:cs="Arial"/>
          <w:b/>
          <w:bCs/>
          <w:sz w:val="24"/>
          <w:szCs w:val="24"/>
          <w:lang w:eastAsia="es-ES_tradnl"/>
        </w:rPr>
        <w:t>Secretaría de Cultura</w:t>
      </w:r>
    </w:p>
    <w:p w14:paraId="0C54B0C6" w14:textId="2AF8519E" w:rsidR="001A41CE" w:rsidRPr="001A41CE" w:rsidRDefault="001A41CE" w:rsidP="001A41CE">
      <w:pPr>
        <w:pStyle w:val="Encabezado"/>
        <w:pBdr>
          <w:top w:val="single" w:sz="4" w:space="1" w:color="D5DCE4" w:themeColor="text2" w:themeTint="33"/>
          <w:left w:val="single" w:sz="4" w:space="4" w:color="D5DCE4" w:themeColor="text2" w:themeTint="33"/>
          <w:bottom w:val="single" w:sz="4" w:space="1" w:color="D5DCE4" w:themeColor="text2" w:themeTint="33"/>
          <w:right w:val="single" w:sz="4" w:space="4" w:color="D5DCE4" w:themeColor="text2" w:themeTint="33"/>
          <w:between w:val="single" w:sz="4" w:space="1" w:color="D5DCE4" w:themeColor="text2" w:themeTint="33"/>
          <w:bar w:val="single" w:sz="4" w:color="auto"/>
        </w:pBdr>
        <w:spacing w:line="276" w:lineRule="auto"/>
        <w:jc w:val="both"/>
        <w:rPr>
          <w:rFonts w:ascii="Arial" w:eastAsia="Times New Roman" w:hAnsi="Arial" w:cs="Arial"/>
          <w:b/>
          <w:bCs/>
          <w:color w:val="8296A9"/>
          <w:sz w:val="24"/>
          <w:szCs w:val="24"/>
          <w:lang w:eastAsia="es-ES_tradnl"/>
        </w:rPr>
      </w:pPr>
      <w:r w:rsidRPr="001A41CE">
        <w:rPr>
          <w:rFonts w:ascii="Arial" w:eastAsia="Times New Roman" w:hAnsi="Arial" w:cs="Arial"/>
          <w:b/>
          <w:bCs/>
          <w:color w:val="8296A9"/>
          <w:sz w:val="24"/>
          <w:szCs w:val="24"/>
          <w:lang w:eastAsia="es-ES_tradnl"/>
        </w:rPr>
        <w:t>Nombre del programa:</w:t>
      </w:r>
      <w:r w:rsidR="00835BEA">
        <w:rPr>
          <w:rFonts w:ascii="Arial" w:eastAsia="Times New Roman" w:hAnsi="Arial" w:cs="Arial"/>
          <w:b/>
          <w:bCs/>
          <w:color w:val="8296A9"/>
          <w:sz w:val="24"/>
          <w:szCs w:val="24"/>
          <w:lang w:eastAsia="es-ES_tradnl"/>
        </w:rPr>
        <w:t xml:space="preserve"> </w:t>
      </w:r>
      <w:r w:rsidR="00F4195F">
        <w:rPr>
          <w:rFonts w:ascii="Arial" w:eastAsia="Times New Roman" w:hAnsi="Arial" w:cs="Arial"/>
          <w:b/>
          <w:bCs/>
          <w:sz w:val="24"/>
          <w:szCs w:val="24"/>
          <w:lang w:eastAsia="es-ES_tradnl"/>
        </w:rPr>
        <w:t>Habita la Escena</w:t>
      </w:r>
    </w:p>
    <w:p w14:paraId="138F1BE3" w14:textId="77777777" w:rsidR="003D22D6" w:rsidRDefault="003D22D6" w:rsidP="003D22D6">
      <w:pPr>
        <w:spacing w:after="0" w:line="240" w:lineRule="auto"/>
        <w:jc w:val="both"/>
        <w:textAlignment w:val="baseline"/>
        <w:rPr>
          <w:rFonts w:ascii="Arial" w:eastAsia="Times New Roman" w:hAnsi="Arial" w:cs="Arial"/>
          <w:b/>
          <w:bCs/>
          <w:bdr w:val="none" w:sz="0" w:space="0" w:color="auto" w:frame="1"/>
          <w:lang w:eastAsia="es-MX"/>
        </w:rPr>
      </w:pPr>
    </w:p>
    <w:p w14:paraId="6E5B7A99" w14:textId="05F7EEC1" w:rsidR="003D22D6" w:rsidRPr="003D22D6" w:rsidRDefault="003D22D6" w:rsidP="003D22D6">
      <w:pPr>
        <w:spacing w:after="0" w:line="240" w:lineRule="auto"/>
        <w:jc w:val="both"/>
        <w:textAlignment w:val="baseline"/>
        <w:rPr>
          <w:rFonts w:ascii="Dosis" w:eastAsia="Times New Roman" w:hAnsi="Dosis" w:cs="Times New Roman"/>
          <w:sz w:val="24"/>
          <w:szCs w:val="24"/>
          <w:lang w:eastAsia="es-MX"/>
        </w:rPr>
      </w:pPr>
      <w:r w:rsidRPr="003D22D6">
        <w:rPr>
          <w:rFonts w:ascii="Arial" w:eastAsia="Times New Roman" w:hAnsi="Arial" w:cs="Arial"/>
          <w:b/>
          <w:bCs/>
          <w:bdr w:val="none" w:sz="0" w:space="0" w:color="auto" w:frame="1"/>
          <w:lang w:eastAsia="es-MX"/>
        </w:rPr>
        <w:t>Descripción del problema público</w:t>
      </w:r>
    </w:p>
    <w:p w14:paraId="11E0BA40" w14:textId="77777777" w:rsidR="003D22D6" w:rsidRDefault="003D22D6" w:rsidP="003D22D6">
      <w:pPr>
        <w:shd w:val="clear" w:color="auto" w:fill="FFFFFF"/>
        <w:spacing w:after="0" w:line="240" w:lineRule="auto"/>
        <w:jc w:val="both"/>
        <w:textAlignment w:val="baseline"/>
        <w:rPr>
          <w:rFonts w:ascii="Arial" w:eastAsia="Times New Roman" w:hAnsi="Arial" w:cs="Arial"/>
          <w:color w:val="000000"/>
          <w:bdr w:val="none" w:sz="0" w:space="0" w:color="auto" w:frame="1"/>
          <w:lang w:eastAsia="es-MX"/>
        </w:rPr>
      </w:pPr>
    </w:p>
    <w:p w14:paraId="467B2D0D" w14:textId="742D88A9" w:rsidR="003D22D6" w:rsidRPr="003D22D6" w:rsidRDefault="003D22D6" w:rsidP="003D22D6">
      <w:pPr>
        <w:shd w:val="clear" w:color="auto" w:fill="FFFFFF"/>
        <w:spacing w:after="0" w:line="240" w:lineRule="auto"/>
        <w:jc w:val="both"/>
        <w:textAlignment w:val="baseline"/>
        <w:rPr>
          <w:rFonts w:ascii="Dosis" w:eastAsia="Times New Roman" w:hAnsi="Dosis" w:cs="Times New Roman"/>
          <w:sz w:val="24"/>
          <w:szCs w:val="24"/>
          <w:lang w:eastAsia="es-MX"/>
        </w:rPr>
      </w:pPr>
      <w:r w:rsidRPr="003D22D6">
        <w:rPr>
          <w:rFonts w:ascii="Arial" w:eastAsia="Times New Roman" w:hAnsi="Arial" w:cs="Arial"/>
          <w:color w:val="000000"/>
          <w:bdr w:val="none" w:sz="0" w:space="0" w:color="auto" w:frame="1"/>
          <w:lang w:eastAsia="es-MX"/>
        </w:rPr>
        <w:t>La comunidad artístico-cultural del estado de Jalisco ha sido muy prolífica en sus creaciones, que van desde la plástica, la música y la literatura, hasta las artes escénicas en general, posicionándose como un referente en el occidente del país que permea a los estados vecinos.</w:t>
      </w:r>
    </w:p>
    <w:p w14:paraId="7CFE3AD7" w14:textId="77777777" w:rsidR="003D22D6" w:rsidRDefault="003D22D6" w:rsidP="003D22D6">
      <w:pPr>
        <w:shd w:val="clear" w:color="auto" w:fill="FFFFFF"/>
        <w:spacing w:after="0" w:line="240" w:lineRule="auto"/>
        <w:jc w:val="both"/>
        <w:textAlignment w:val="baseline"/>
        <w:rPr>
          <w:rFonts w:ascii="Arial" w:eastAsia="Times New Roman" w:hAnsi="Arial" w:cs="Arial"/>
          <w:color w:val="000000"/>
          <w:bdr w:val="none" w:sz="0" w:space="0" w:color="auto" w:frame="1"/>
          <w:lang w:eastAsia="es-MX"/>
        </w:rPr>
      </w:pPr>
    </w:p>
    <w:p w14:paraId="7E7C3418" w14:textId="7555F0A7" w:rsidR="003D22D6" w:rsidRPr="003D22D6" w:rsidRDefault="003D22D6" w:rsidP="003D22D6">
      <w:pPr>
        <w:shd w:val="clear" w:color="auto" w:fill="FFFFFF"/>
        <w:spacing w:after="0" w:line="240" w:lineRule="auto"/>
        <w:jc w:val="both"/>
        <w:textAlignment w:val="baseline"/>
        <w:rPr>
          <w:rFonts w:ascii="Dosis" w:eastAsia="Times New Roman" w:hAnsi="Dosis" w:cs="Times New Roman"/>
          <w:sz w:val="24"/>
          <w:szCs w:val="24"/>
          <w:lang w:eastAsia="es-MX"/>
        </w:rPr>
      </w:pPr>
      <w:r w:rsidRPr="003D22D6">
        <w:rPr>
          <w:rFonts w:ascii="Arial" w:eastAsia="Times New Roman" w:hAnsi="Arial" w:cs="Arial"/>
          <w:color w:val="000000"/>
          <w:bdr w:val="none" w:sz="0" w:space="0" w:color="auto" w:frame="1"/>
          <w:lang w:eastAsia="es-MX"/>
        </w:rPr>
        <w:t xml:space="preserve">En Jalisco, de acuerdo con un reciente estudio que la UNESCO publicó en conjunto con la Secretaría de Cultura en el año 2024, los creadores de las artes escénicas aportaron, para el año 2018, un 8.5 % del valor agregado bruto cultural de Jalisco, superando incluso el porcentaje nacional, que alcanza apenas el 5.3 % (UNESCO &amp; Cultura Jalisco, 2024). </w:t>
      </w:r>
      <w:r w:rsidRPr="003D22D6">
        <w:rPr>
          <w:rFonts w:ascii="Arial" w:eastAsia="Times New Roman" w:hAnsi="Arial" w:cs="Arial"/>
          <w:i/>
          <w:iCs/>
          <w:color w:val="000000"/>
          <w:bdr w:val="none" w:sz="0" w:space="0" w:color="auto" w:frame="1"/>
          <w:lang w:eastAsia="es-MX"/>
        </w:rPr>
        <w:t>Panoramas culturales: una exploración para la sostenibilidad de la cultura en Jalisco</w:t>
      </w:r>
      <w:r w:rsidRPr="003D22D6">
        <w:rPr>
          <w:rFonts w:ascii="Arial" w:eastAsia="Times New Roman" w:hAnsi="Arial" w:cs="Arial"/>
          <w:color w:val="000000"/>
          <w:bdr w:val="none" w:sz="0" w:space="0" w:color="auto" w:frame="1"/>
          <w:lang w:eastAsia="es-MX"/>
        </w:rPr>
        <w:t xml:space="preserve">. </w:t>
      </w:r>
      <w:hyperlink r:id="rId8" w:history="1">
        <w:r w:rsidRPr="003D22D6">
          <w:rPr>
            <w:rFonts w:ascii="Arial" w:eastAsia="Times New Roman" w:hAnsi="Arial" w:cs="Arial"/>
            <w:color w:val="1155CC"/>
            <w:u w:val="single"/>
            <w:bdr w:val="none" w:sz="0" w:space="0" w:color="auto" w:frame="1"/>
            <w:lang w:eastAsia="es-MX"/>
          </w:rPr>
          <w:t>https://sc.jalisco.gob.mx/panoramas-culturales-una-exploracion-para-la-sostenibilidad-de-la-cultura-en-jalisco</w:t>
        </w:r>
      </w:hyperlink>
    </w:p>
    <w:p w14:paraId="47E5313E" w14:textId="77777777" w:rsidR="003D22D6" w:rsidRDefault="003D22D6" w:rsidP="003D22D6">
      <w:pPr>
        <w:shd w:val="clear" w:color="auto" w:fill="FFFFFF"/>
        <w:spacing w:after="0" w:line="240" w:lineRule="auto"/>
        <w:jc w:val="both"/>
        <w:textAlignment w:val="baseline"/>
        <w:rPr>
          <w:rFonts w:ascii="Arial" w:eastAsia="Times New Roman" w:hAnsi="Arial" w:cs="Arial"/>
          <w:color w:val="000000"/>
          <w:bdr w:val="none" w:sz="0" w:space="0" w:color="auto" w:frame="1"/>
          <w:lang w:eastAsia="es-MX"/>
        </w:rPr>
      </w:pPr>
    </w:p>
    <w:p w14:paraId="7DE77DE4" w14:textId="402433D4" w:rsidR="003D22D6" w:rsidRPr="003D22D6" w:rsidRDefault="003D22D6" w:rsidP="003D22D6">
      <w:pPr>
        <w:shd w:val="clear" w:color="auto" w:fill="FFFFFF"/>
        <w:spacing w:after="0" w:line="240" w:lineRule="auto"/>
        <w:jc w:val="both"/>
        <w:textAlignment w:val="baseline"/>
        <w:rPr>
          <w:rFonts w:ascii="Dosis" w:eastAsia="Times New Roman" w:hAnsi="Dosis" w:cs="Times New Roman"/>
          <w:sz w:val="24"/>
          <w:szCs w:val="24"/>
          <w:lang w:eastAsia="es-MX"/>
        </w:rPr>
      </w:pPr>
      <w:r w:rsidRPr="003D22D6">
        <w:rPr>
          <w:rFonts w:ascii="Arial" w:eastAsia="Times New Roman" w:hAnsi="Arial" w:cs="Arial"/>
          <w:color w:val="000000"/>
          <w:bdr w:val="none" w:sz="0" w:space="0" w:color="auto" w:frame="1"/>
          <w:lang w:eastAsia="es-MX"/>
        </w:rPr>
        <w:t>En virtud de esta comunidad vibrante y en constante crecimiento, Jalisco cuenta con uno de los pocos sistemas en el país de apoyos a la creación artística que le permite a la comunidad seguir generando productos de calidad. Actualmente, la Secretaría de Cultura, a través de dichos apoyos, busca atender los procesos creativos desde la concepción de la idea artística hasta la materialización y posterior producción de los mismos, impactando también en la movilidad de los montajes resultantes a nivel nacional e internacional.</w:t>
      </w:r>
    </w:p>
    <w:p w14:paraId="74E5D433" w14:textId="77777777" w:rsidR="003D22D6" w:rsidRDefault="003D22D6" w:rsidP="003D22D6">
      <w:pPr>
        <w:shd w:val="clear" w:color="auto" w:fill="FFFFFF"/>
        <w:spacing w:after="0" w:line="240" w:lineRule="auto"/>
        <w:jc w:val="both"/>
        <w:textAlignment w:val="baseline"/>
        <w:rPr>
          <w:rFonts w:ascii="Arial" w:eastAsia="Times New Roman" w:hAnsi="Arial" w:cs="Arial"/>
          <w:color w:val="000000"/>
          <w:bdr w:val="none" w:sz="0" w:space="0" w:color="auto" w:frame="1"/>
          <w:lang w:eastAsia="es-MX"/>
        </w:rPr>
      </w:pPr>
    </w:p>
    <w:p w14:paraId="34D599BA" w14:textId="3E9F0093" w:rsidR="003D22D6" w:rsidRPr="003D22D6" w:rsidRDefault="003D22D6" w:rsidP="003D22D6">
      <w:pPr>
        <w:shd w:val="clear" w:color="auto" w:fill="FFFFFF"/>
        <w:spacing w:after="0" w:line="240" w:lineRule="auto"/>
        <w:jc w:val="both"/>
        <w:textAlignment w:val="baseline"/>
        <w:rPr>
          <w:rFonts w:ascii="Dosis" w:eastAsia="Times New Roman" w:hAnsi="Dosis" w:cs="Times New Roman"/>
          <w:sz w:val="24"/>
          <w:szCs w:val="24"/>
          <w:lang w:eastAsia="es-MX"/>
        </w:rPr>
      </w:pPr>
      <w:r w:rsidRPr="003D22D6">
        <w:rPr>
          <w:rFonts w:ascii="Arial" w:eastAsia="Times New Roman" w:hAnsi="Arial" w:cs="Arial"/>
          <w:color w:val="000000"/>
          <w:bdr w:val="none" w:sz="0" w:space="0" w:color="auto" w:frame="1"/>
          <w:lang w:eastAsia="es-MX"/>
        </w:rPr>
        <w:t>Sin embargo, dicho sistema de apoyos requiere de un proceso de articulación institucional para que los productos artísticos generados tengan presencia en los espacios escénicos de la propia Secretaría, que son, además, los espacios públicos donde se materializa gran parte de la política cultural del estado. En este sentido, el “Programa Habita la Escena” busca que los mejores productos artísticos de las artes escénicas puedan contar con temporadas dentro de cuatro espacios escénicos que administra la Secretaría de Cultura, entre los que se encuentran: el Foro de Arte y Cultura, el Teatro Alarife Martín Casillas, el Centro para la Cultura y las Artes de la Ribera y el Centro para las Artes José Rolón.</w:t>
      </w:r>
    </w:p>
    <w:p w14:paraId="25033395" w14:textId="77777777" w:rsidR="003D22D6" w:rsidRDefault="003D22D6" w:rsidP="003D22D6">
      <w:pPr>
        <w:shd w:val="clear" w:color="auto" w:fill="FFFFFF"/>
        <w:spacing w:after="0" w:line="240" w:lineRule="auto"/>
        <w:jc w:val="both"/>
        <w:textAlignment w:val="baseline"/>
        <w:rPr>
          <w:rFonts w:ascii="Arial" w:eastAsia="Times New Roman" w:hAnsi="Arial" w:cs="Arial"/>
          <w:color w:val="000000"/>
          <w:bdr w:val="none" w:sz="0" w:space="0" w:color="auto" w:frame="1"/>
          <w:lang w:eastAsia="es-MX"/>
        </w:rPr>
      </w:pPr>
    </w:p>
    <w:p w14:paraId="01773ED4" w14:textId="300AAFB3" w:rsidR="003D22D6" w:rsidRPr="003D22D6" w:rsidRDefault="003D22D6" w:rsidP="003D22D6">
      <w:pPr>
        <w:shd w:val="clear" w:color="auto" w:fill="FFFFFF"/>
        <w:spacing w:after="0" w:line="240" w:lineRule="auto"/>
        <w:jc w:val="both"/>
        <w:textAlignment w:val="baseline"/>
        <w:rPr>
          <w:rFonts w:ascii="Dosis" w:eastAsia="Times New Roman" w:hAnsi="Dosis" w:cs="Times New Roman"/>
          <w:sz w:val="24"/>
          <w:szCs w:val="24"/>
          <w:lang w:eastAsia="es-MX"/>
        </w:rPr>
      </w:pPr>
      <w:r w:rsidRPr="003D22D6">
        <w:rPr>
          <w:rFonts w:ascii="Arial" w:eastAsia="Times New Roman" w:hAnsi="Arial" w:cs="Arial"/>
          <w:color w:val="000000"/>
          <w:bdr w:val="none" w:sz="0" w:space="0" w:color="auto" w:frame="1"/>
          <w:lang w:eastAsia="es-MX"/>
        </w:rPr>
        <w:t>Cuando hablamos de un proceso de articulación institucional para consolidar una programación en los espacios escénicos, nos referimos a lograr que estos sean realmente accesibles para la comunidad artística. Por esta razón, el “Programa Habita la Escena” otorga estímulos económicos para que las y los creadores escénicos puedan solventar los gastos inmediatos de una producción escénica, como lo son los honorarios de los propios artistas y de los técnicos de los distintos oficios de las artes escénicas, con el fin de que puedan permanecer por temporadas habitando los espacios escénicos.</w:t>
      </w:r>
    </w:p>
    <w:p w14:paraId="230EC21D" w14:textId="77777777" w:rsidR="003D22D6" w:rsidRDefault="003D22D6" w:rsidP="003D22D6">
      <w:pPr>
        <w:shd w:val="clear" w:color="auto" w:fill="FFFFFF"/>
        <w:spacing w:after="0" w:line="240" w:lineRule="auto"/>
        <w:jc w:val="both"/>
        <w:textAlignment w:val="baseline"/>
        <w:rPr>
          <w:rFonts w:ascii="Arial" w:eastAsia="Times New Roman" w:hAnsi="Arial" w:cs="Arial"/>
          <w:color w:val="000000"/>
          <w:bdr w:val="none" w:sz="0" w:space="0" w:color="auto" w:frame="1"/>
          <w:lang w:eastAsia="es-MX"/>
        </w:rPr>
      </w:pPr>
    </w:p>
    <w:p w14:paraId="56B1FEB7" w14:textId="06DE8E89" w:rsidR="003D22D6" w:rsidRPr="003D22D6" w:rsidRDefault="003D22D6" w:rsidP="003D22D6">
      <w:pPr>
        <w:shd w:val="clear" w:color="auto" w:fill="FFFFFF"/>
        <w:spacing w:after="0" w:line="240" w:lineRule="auto"/>
        <w:jc w:val="both"/>
        <w:textAlignment w:val="baseline"/>
        <w:rPr>
          <w:rFonts w:ascii="Dosis" w:eastAsia="Times New Roman" w:hAnsi="Dosis" w:cs="Times New Roman"/>
          <w:sz w:val="24"/>
          <w:szCs w:val="24"/>
          <w:lang w:eastAsia="es-MX"/>
        </w:rPr>
      </w:pPr>
      <w:r w:rsidRPr="003D22D6">
        <w:rPr>
          <w:rFonts w:ascii="Arial" w:eastAsia="Times New Roman" w:hAnsi="Arial" w:cs="Arial"/>
          <w:color w:val="000000"/>
          <w:bdr w:val="none" w:sz="0" w:space="0" w:color="auto" w:frame="1"/>
          <w:lang w:eastAsia="es-MX"/>
        </w:rPr>
        <w:t>Este apoyo responde a la necesidad de brindar estímulos a la comunidad para que pueda distribuir, comercializar y circular sus productos culturales, así como generar ingresos a partir de las temporadas que habitarán los espacios. En ellas, además, se busca que la formación de públicos sea el punto de articulación entre creadores y audiencias, mediante una programación curada y enfocada en sectores de atención prioritaria, como las infancias y las juventudes.</w:t>
      </w:r>
    </w:p>
    <w:p w14:paraId="2263CC6D" w14:textId="77777777" w:rsidR="003D22D6" w:rsidRDefault="003D22D6" w:rsidP="003D22D6">
      <w:pPr>
        <w:shd w:val="clear" w:color="auto" w:fill="FFFFFF"/>
        <w:spacing w:after="0" w:line="240" w:lineRule="auto"/>
        <w:jc w:val="both"/>
        <w:textAlignment w:val="baseline"/>
        <w:rPr>
          <w:rFonts w:ascii="Arial" w:eastAsia="Times New Roman" w:hAnsi="Arial" w:cs="Arial"/>
          <w:color w:val="000000"/>
          <w:bdr w:val="none" w:sz="0" w:space="0" w:color="auto" w:frame="1"/>
          <w:lang w:eastAsia="es-MX"/>
        </w:rPr>
      </w:pPr>
    </w:p>
    <w:p w14:paraId="05859910" w14:textId="083989B0" w:rsidR="003D22D6" w:rsidRPr="003D22D6" w:rsidRDefault="003D22D6" w:rsidP="003D22D6">
      <w:pPr>
        <w:shd w:val="clear" w:color="auto" w:fill="FFFFFF"/>
        <w:spacing w:after="0" w:line="240" w:lineRule="auto"/>
        <w:jc w:val="both"/>
        <w:textAlignment w:val="baseline"/>
        <w:rPr>
          <w:rFonts w:ascii="Dosis" w:eastAsia="Times New Roman" w:hAnsi="Dosis" w:cs="Times New Roman"/>
          <w:sz w:val="24"/>
          <w:szCs w:val="24"/>
          <w:lang w:eastAsia="es-MX"/>
        </w:rPr>
      </w:pPr>
      <w:r w:rsidRPr="003D22D6">
        <w:rPr>
          <w:rFonts w:ascii="Arial" w:eastAsia="Times New Roman" w:hAnsi="Arial" w:cs="Arial"/>
          <w:color w:val="000000"/>
          <w:bdr w:val="none" w:sz="0" w:space="0" w:color="auto" w:frame="1"/>
          <w:lang w:eastAsia="es-MX"/>
        </w:rPr>
        <w:t xml:space="preserve">Las políticas culturales de fomento para las artes escénicas a nivel internacional se centran actualmente en la mediación, la descentralización y el acceso garantizado como un derecho cultural. Este último se señala como uno de los objetivos temáticos del Eje Sectorial de Desarrollo Social del Plan Estatal de Desarrollo y Gobernanza de Jalisco (PEDG), que establece: “Asegurar el ejercicio pleno del derecho a la </w:t>
      </w:r>
      <w:r w:rsidRPr="003D22D6">
        <w:rPr>
          <w:rFonts w:ascii="Arial" w:eastAsia="Times New Roman" w:hAnsi="Arial" w:cs="Arial"/>
          <w:color w:val="000000"/>
          <w:bdr w:val="none" w:sz="0" w:space="0" w:color="auto" w:frame="1"/>
          <w:lang w:eastAsia="es-MX"/>
        </w:rPr>
        <w:lastRenderedPageBreak/>
        <w:t>cultura de la población de Jalisco en todas sus manifestaciones y expresiones de sus poblaciones y grupos”.</w:t>
      </w:r>
    </w:p>
    <w:p w14:paraId="2A138B99" w14:textId="77777777" w:rsidR="003D22D6" w:rsidRDefault="003D22D6" w:rsidP="003D22D6">
      <w:pPr>
        <w:shd w:val="clear" w:color="auto" w:fill="FFFFFF"/>
        <w:spacing w:after="0" w:line="240" w:lineRule="auto"/>
        <w:jc w:val="both"/>
        <w:textAlignment w:val="baseline"/>
        <w:rPr>
          <w:rFonts w:ascii="Arial" w:eastAsia="Times New Roman" w:hAnsi="Arial" w:cs="Arial"/>
          <w:color w:val="000000"/>
          <w:bdr w:val="none" w:sz="0" w:space="0" w:color="auto" w:frame="1"/>
          <w:lang w:eastAsia="es-MX"/>
        </w:rPr>
      </w:pPr>
    </w:p>
    <w:p w14:paraId="714DACF0" w14:textId="69A640DF" w:rsidR="003D22D6" w:rsidRPr="003D22D6" w:rsidRDefault="003D22D6" w:rsidP="003D22D6">
      <w:pPr>
        <w:shd w:val="clear" w:color="auto" w:fill="FFFFFF"/>
        <w:spacing w:after="0" w:line="240" w:lineRule="auto"/>
        <w:jc w:val="both"/>
        <w:textAlignment w:val="baseline"/>
        <w:rPr>
          <w:rFonts w:ascii="Dosis" w:eastAsia="Times New Roman" w:hAnsi="Dosis" w:cs="Times New Roman"/>
          <w:sz w:val="24"/>
          <w:szCs w:val="24"/>
          <w:lang w:eastAsia="es-MX"/>
        </w:rPr>
      </w:pPr>
      <w:r w:rsidRPr="003D22D6">
        <w:rPr>
          <w:rFonts w:ascii="Arial" w:eastAsia="Times New Roman" w:hAnsi="Arial" w:cs="Arial"/>
          <w:color w:val="000000"/>
          <w:bdr w:val="none" w:sz="0" w:space="0" w:color="auto" w:frame="1"/>
          <w:lang w:eastAsia="es-MX"/>
        </w:rPr>
        <w:t>Estas estrategias de mediación, descentralización y acceso buscan transformar al espectador pasivo en un participante activo a través de los siguientes ejes principales: programas de circulación y acceso geográfico; formación de públicos y mediación cultural; institucionalización y derechos culturales; y estímulos a la demanda y práctica. Mediante estos ejes es que el programa “Habita la Escena” se encuentra articulado, teniendo a los teatros de la Secretaría como plataforma y punto de encuentro.</w:t>
      </w:r>
    </w:p>
    <w:p w14:paraId="6DA40832" w14:textId="77777777" w:rsidR="003D22D6" w:rsidRDefault="003D22D6" w:rsidP="003D22D6">
      <w:pPr>
        <w:shd w:val="clear" w:color="auto" w:fill="FFFFFF"/>
        <w:spacing w:after="0" w:line="240" w:lineRule="auto"/>
        <w:jc w:val="both"/>
        <w:textAlignment w:val="baseline"/>
        <w:rPr>
          <w:rFonts w:ascii="Arial" w:eastAsia="Times New Roman" w:hAnsi="Arial" w:cs="Arial"/>
          <w:color w:val="000000"/>
          <w:bdr w:val="none" w:sz="0" w:space="0" w:color="auto" w:frame="1"/>
          <w:lang w:eastAsia="es-MX"/>
        </w:rPr>
      </w:pPr>
    </w:p>
    <w:p w14:paraId="4BF060E2" w14:textId="4ADF253A" w:rsidR="003D22D6" w:rsidRPr="003D22D6" w:rsidRDefault="003D22D6" w:rsidP="003D22D6">
      <w:pPr>
        <w:shd w:val="clear" w:color="auto" w:fill="FFFFFF"/>
        <w:spacing w:after="0" w:line="240" w:lineRule="auto"/>
        <w:jc w:val="both"/>
        <w:textAlignment w:val="baseline"/>
        <w:rPr>
          <w:rFonts w:ascii="Dosis" w:eastAsia="Times New Roman" w:hAnsi="Dosis" w:cs="Times New Roman"/>
          <w:sz w:val="24"/>
          <w:szCs w:val="24"/>
          <w:lang w:eastAsia="es-MX"/>
        </w:rPr>
      </w:pPr>
      <w:r w:rsidRPr="003D22D6">
        <w:rPr>
          <w:rFonts w:ascii="Arial" w:eastAsia="Times New Roman" w:hAnsi="Arial" w:cs="Arial"/>
          <w:color w:val="000000"/>
          <w:bdr w:val="none" w:sz="0" w:space="0" w:color="auto" w:frame="1"/>
          <w:lang w:eastAsia="es-MX"/>
        </w:rPr>
        <w:t>El “Programa Habita la Escena” busca incidir en el último eslabón de la cadena de los productos culturales, que tiene que ver propiamente con el consumo y la distribución de los mismos, ya que es justamente a través de su consumo que los creadores y todo el ecosistema de empleados de la cultura pueden generar ingresos fuera de los programas estatales, nacionales e internacionales de apoyo a la creación.</w:t>
      </w:r>
    </w:p>
    <w:p w14:paraId="21833209" w14:textId="77777777" w:rsidR="003D22D6" w:rsidRDefault="003D22D6" w:rsidP="003D22D6">
      <w:pPr>
        <w:shd w:val="clear" w:color="auto" w:fill="FFFFFF"/>
        <w:spacing w:after="0" w:line="240" w:lineRule="auto"/>
        <w:jc w:val="both"/>
        <w:textAlignment w:val="baseline"/>
        <w:rPr>
          <w:rFonts w:ascii="Arial" w:eastAsia="Times New Roman" w:hAnsi="Arial" w:cs="Arial"/>
          <w:color w:val="000000"/>
          <w:bdr w:val="none" w:sz="0" w:space="0" w:color="auto" w:frame="1"/>
          <w:lang w:eastAsia="es-MX"/>
        </w:rPr>
      </w:pPr>
    </w:p>
    <w:p w14:paraId="5FC194F1" w14:textId="48DB561B" w:rsidR="003D22D6" w:rsidRPr="003D22D6" w:rsidRDefault="003D22D6" w:rsidP="003D22D6">
      <w:pPr>
        <w:shd w:val="clear" w:color="auto" w:fill="FFFFFF"/>
        <w:spacing w:after="0" w:line="240" w:lineRule="auto"/>
        <w:jc w:val="both"/>
        <w:textAlignment w:val="baseline"/>
        <w:rPr>
          <w:rFonts w:ascii="Dosis" w:eastAsia="Times New Roman" w:hAnsi="Dosis" w:cs="Times New Roman"/>
          <w:sz w:val="24"/>
          <w:szCs w:val="24"/>
          <w:lang w:eastAsia="es-MX"/>
        </w:rPr>
      </w:pPr>
      <w:r w:rsidRPr="003D22D6">
        <w:rPr>
          <w:rFonts w:ascii="Arial" w:eastAsia="Times New Roman" w:hAnsi="Arial" w:cs="Arial"/>
          <w:color w:val="000000"/>
          <w:bdr w:val="none" w:sz="0" w:space="0" w:color="auto" w:frame="1"/>
          <w:lang w:eastAsia="es-MX"/>
        </w:rPr>
        <w:t>Para entender la problemática es importante recuperar algunos de los hallazgos contenidos en el Plan Estatal de Desarrollo y Gobernanza de Jalisco 2024–2030 (PEDG): el “sector cultural enfrenta condiciones laborales precarias: de acuerdo con la Encuesta Nacional de Ocupación y Empleo, los ingresos promedio de los artistas son inferiores a 6,000 pesos mensuales y predominan los contratos temporales. A esto se suma un bajo nivel de consumo cultural en los hogares, que en 2022 representó apenas el 1.7 % del gasto trimestral total” (PEDG 2024–2030).</w:t>
      </w:r>
    </w:p>
    <w:p w14:paraId="02C68339" w14:textId="77777777" w:rsidR="003D22D6" w:rsidRDefault="003D22D6" w:rsidP="003D22D6">
      <w:pPr>
        <w:shd w:val="clear" w:color="auto" w:fill="FFFFFF"/>
        <w:spacing w:after="0" w:line="240" w:lineRule="auto"/>
        <w:jc w:val="both"/>
        <w:textAlignment w:val="baseline"/>
        <w:rPr>
          <w:rFonts w:ascii="Arial" w:eastAsia="Times New Roman" w:hAnsi="Arial" w:cs="Arial"/>
          <w:color w:val="000000"/>
          <w:bdr w:val="none" w:sz="0" w:space="0" w:color="auto" w:frame="1"/>
          <w:lang w:eastAsia="es-MX"/>
        </w:rPr>
      </w:pPr>
    </w:p>
    <w:p w14:paraId="207BCF66" w14:textId="41235025" w:rsidR="003D22D6" w:rsidRPr="003D22D6" w:rsidRDefault="003D22D6" w:rsidP="003D22D6">
      <w:pPr>
        <w:shd w:val="clear" w:color="auto" w:fill="FFFFFF"/>
        <w:spacing w:after="0" w:line="240" w:lineRule="auto"/>
        <w:jc w:val="both"/>
        <w:textAlignment w:val="baseline"/>
        <w:rPr>
          <w:rFonts w:ascii="Dosis" w:eastAsia="Times New Roman" w:hAnsi="Dosis" w:cs="Times New Roman"/>
          <w:sz w:val="24"/>
          <w:szCs w:val="24"/>
          <w:lang w:eastAsia="es-MX"/>
        </w:rPr>
      </w:pPr>
      <w:r w:rsidRPr="003D22D6">
        <w:rPr>
          <w:rFonts w:ascii="Arial" w:eastAsia="Times New Roman" w:hAnsi="Arial" w:cs="Arial"/>
          <w:color w:val="000000"/>
          <w:bdr w:val="none" w:sz="0" w:space="0" w:color="auto" w:frame="1"/>
          <w:lang w:eastAsia="es-MX"/>
        </w:rPr>
        <w:t>Asimismo, para el año 2023, “el número de empleados en ocupaciones culturales en Jalisco ascendió a 348,614 personas, lo que representa el 8.5 % del total de los empleos generados en el estado de Jalisco. De dicha cantidad, 140,203 son mujeres y 208,411 son hombres, lo que representa el 40.2 % y el 59.8 %, respectivamente” (UNESCO &amp; Cultura Jalisco, 2024).</w:t>
      </w:r>
    </w:p>
    <w:p w14:paraId="101DBA13" w14:textId="77777777" w:rsidR="003D22D6" w:rsidRDefault="003D22D6" w:rsidP="003D22D6">
      <w:pPr>
        <w:shd w:val="clear" w:color="auto" w:fill="FFFFFF"/>
        <w:spacing w:after="0" w:line="240" w:lineRule="auto"/>
        <w:jc w:val="both"/>
        <w:textAlignment w:val="baseline"/>
        <w:rPr>
          <w:rFonts w:ascii="Arial" w:eastAsia="Times New Roman" w:hAnsi="Arial" w:cs="Arial"/>
          <w:color w:val="000000"/>
          <w:bdr w:val="none" w:sz="0" w:space="0" w:color="auto" w:frame="1"/>
          <w:lang w:eastAsia="es-MX"/>
        </w:rPr>
      </w:pPr>
    </w:p>
    <w:p w14:paraId="48D03A78" w14:textId="14A4C4C7" w:rsidR="003D22D6" w:rsidRPr="003D22D6" w:rsidRDefault="003D22D6" w:rsidP="003D22D6">
      <w:pPr>
        <w:shd w:val="clear" w:color="auto" w:fill="FFFFFF"/>
        <w:spacing w:after="0" w:line="240" w:lineRule="auto"/>
        <w:jc w:val="both"/>
        <w:textAlignment w:val="baseline"/>
        <w:rPr>
          <w:rFonts w:ascii="Dosis" w:eastAsia="Times New Roman" w:hAnsi="Dosis" w:cs="Times New Roman"/>
          <w:sz w:val="24"/>
          <w:szCs w:val="24"/>
          <w:lang w:eastAsia="es-MX"/>
        </w:rPr>
      </w:pPr>
      <w:r w:rsidRPr="003D22D6">
        <w:rPr>
          <w:rFonts w:ascii="Arial" w:eastAsia="Times New Roman" w:hAnsi="Arial" w:cs="Arial"/>
          <w:color w:val="000000"/>
          <w:bdr w:val="none" w:sz="0" w:space="0" w:color="auto" w:frame="1"/>
          <w:lang w:eastAsia="es-MX"/>
        </w:rPr>
        <w:t>Respecto a estas cifras, es importante acotar que las empresas culturales que se censaron para mostrar este indicador consideran tanto a las personas que se dedican enteramente al sector cultural y creativo como a todas aquellas que proveen servicios adicionales no relacionados con el proceso creativo, como los contadores o los empleados de limpieza, entre otros. Por lo tanto, la medición real de personas que se dedican exclusivamente al plano creativo es considerablemente menor y actualmente se desconoce el dato real, ya que no se cuenta con censos específicos para la comunidad artística y cultural del estado.</w:t>
      </w:r>
    </w:p>
    <w:p w14:paraId="1ED8F969" w14:textId="77777777" w:rsidR="003D22D6" w:rsidRDefault="003D22D6" w:rsidP="003D22D6">
      <w:pPr>
        <w:shd w:val="clear" w:color="auto" w:fill="FFFFFF"/>
        <w:spacing w:after="0" w:line="240" w:lineRule="auto"/>
        <w:jc w:val="both"/>
        <w:textAlignment w:val="baseline"/>
        <w:rPr>
          <w:rFonts w:ascii="Arial" w:eastAsia="Times New Roman" w:hAnsi="Arial" w:cs="Arial"/>
          <w:color w:val="000000"/>
          <w:bdr w:val="none" w:sz="0" w:space="0" w:color="auto" w:frame="1"/>
          <w:lang w:eastAsia="es-MX"/>
        </w:rPr>
      </w:pPr>
    </w:p>
    <w:p w14:paraId="775FF332" w14:textId="5F7822B9" w:rsidR="003D22D6" w:rsidRPr="003D22D6" w:rsidRDefault="003D22D6" w:rsidP="003D22D6">
      <w:pPr>
        <w:shd w:val="clear" w:color="auto" w:fill="FFFFFF"/>
        <w:spacing w:after="0" w:line="240" w:lineRule="auto"/>
        <w:jc w:val="both"/>
        <w:textAlignment w:val="baseline"/>
        <w:rPr>
          <w:rFonts w:ascii="Dosis" w:eastAsia="Times New Roman" w:hAnsi="Dosis" w:cs="Times New Roman"/>
          <w:sz w:val="24"/>
          <w:szCs w:val="24"/>
          <w:lang w:eastAsia="es-MX"/>
        </w:rPr>
      </w:pPr>
      <w:r w:rsidRPr="003D22D6">
        <w:rPr>
          <w:rFonts w:ascii="Arial" w:eastAsia="Times New Roman" w:hAnsi="Arial" w:cs="Arial"/>
          <w:color w:val="000000"/>
          <w:bdr w:val="none" w:sz="0" w:space="0" w:color="auto" w:frame="1"/>
          <w:lang w:eastAsia="es-MX"/>
        </w:rPr>
        <w:t>Por parte de la Secretaría de Cultura, de acuerdo con el Directorio Talento Jalisco —una base de datos que comprende talentos artísticos, culturales y creativos de todo el estado—, se cuenta con una población de 592 talentos debidamente registrados en distintas disciplinas artísticas. Esta es una de las pocas herramientas con las que cuenta el Gobierno del Estado para el desarrollo de su política cultural, ya que los indicadores nacionales y estatales sobre la actividad cultural no se miden de manera específica en los censos actuales de los sistemas de información estadística nacional.</w:t>
      </w:r>
    </w:p>
    <w:p w14:paraId="607EC741" w14:textId="77777777" w:rsidR="003D22D6" w:rsidRDefault="003D22D6" w:rsidP="003D22D6">
      <w:pPr>
        <w:shd w:val="clear" w:color="auto" w:fill="FFFFFF"/>
        <w:spacing w:after="0" w:line="240" w:lineRule="auto"/>
        <w:jc w:val="both"/>
        <w:textAlignment w:val="baseline"/>
        <w:rPr>
          <w:rFonts w:ascii="Arial" w:eastAsia="Times New Roman" w:hAnsi="Arial" w:cs="Arial"/>
          <w:color w:val="000000"/>
          <w:bdr w:val="none" w:sz="0" w:space="0" w:color="auto" w:frame="1"/>
          <w:lang w:eastAsia="es-MX"/>
        </w:rPr>
      </w:pPr>
    </w:p>
    <w:p w14:paraId="3701AAB1" w14:textId="04E501B2" w:rsidR="003D22D6" w:rsidRPr="003D22D6" w:rsidRDefault="003D22D6" w:rsidP="003D22D6">
      <w:pPr>
        <w:shd w:val="clear" w:color="auto" w:fill="FFFFFF"/>
        <w:spacing w:after="0" w:line="240" w:lineRule="auto"/>
        <w:jc w:val="both"/>
        <w:textAlignment w:val="baseline"/>
        <w:rPr>
          <w:rFonts w:ascii="Dosis" w:eastAsia="Times New Roman" w:hAnsi="Dosis" w:cs="Times New Roman"/>
          <w:sz w:val="24"/>
          <w:szCs w:val="24"/>
          <w:lang w:eastAsia="es-MX"/>
        </w:rPr>
      </w:pPr>
      <w:r w:rsidRPr="003D22D6">
        <w:rPr>
          <w:rFonts w:ascii="Arial" w:eastAsia="Times New Roman" w:hAnsi="Arial" w:cs="Arial"/>
          <w:color w:val="000000"/>
          <w:bdr w:val="none" w:sz="0" w:space="0" w:color="auto" w:frame="1"/>
          <w:lang w:eastAsia="es-MX"/>
        </w:rPr>
        <w:t>Debido a que la comunidad cultural se encuentra poco estudiada en términos estadísticos, se conciben pocos apoyos focalizados para la atención de sus necesidades reales. Sin embargo, si algo indican los pocos indicadores con los que se cuenta actualmente es que la comunidad artística y cultural existe, genera empleos y autoempleos, y contribuye de manera significativa al desarrollo económico del estado de Jalisco.</w:t>
      </w:r>
    </w:p>
    <w:p w14:paraId="23F87962" w14:textId="77777777" w:rsidR="003D22D6" w:rsidRDefault="003D22D6" w:rsidP="003D22D6">
      <w:pPr>
        <w:shd w:val="clear" w:color="auto" w:fill="FFFFFF"/>
        <w:spacing w:after="0" w:line="240" w:lineRule="auto"/>
        <w:jc w:val="both"/>
        <w:textAlignment w:val="baseline"/>
        <w:rPr>
          <w:rFonts w:ascii="Arial" w:eastAsia="Times New Roman" w:hAnsi="Arial" w:cs="Arial"/>
          <w:color w:val="000000"/>
          <w:bdr w:val="none" w:sz="0" w:space="0" w:color="auto" w:frame="1"/>
          <w:lang w:eastAsia="es-MX"/>
        </w:rPr>
      </w:pPr>
    </w:p>
    <w:p w14:paraId="55FE26EF" w14:textId="7AAEEE4A" w:rsidR="003D22D6" w:rsidRPr="003D22D6" w:rsidRDefault="003D22D6" w:rsidP="003D22D6">
      <w:pPr>
        <w:shd w:val="clear" w:color="auto" w:fill="FFFFFF"/>
        <w:spacing w:after="0" w:line="240" w:lineRule="auto"/>
        <w:jc w:val="both"/>
        <w:textAlignment w:val="baseline"/>
        <w:rPr>
          <w:rFonts w:ascii="Dosis" w:eastAsia="Times New Roman" w:hAnsi="Dosis" w:cs="Times New Roman"/>
          <w:sz w:val="24"/>
          <w:szCs w:val="24"/>
          <w:lang w:eastAsia="es-MX"/>
        </w:rPr>
      </w:pPr>
      <w:r w:rsidRPr="003D22D6">
        <w:rPr>
          <w:rFonts w:ascii="Arial" w:eastAsia="Times New Roman" w:hAnsi="Arial" w:cs="Arial"/>
          <w:color w:val="000000"/>
          <w:bdr w:val="none" w:sz="0" w:space="0" w:color="auto" w:frame="1"/>
          <w:lang w:eastAsia="es-MX"/>
        </w:rPr>
        <w:t>Por las razones anteriormente expuestas, el programa “Habita la Escena” busca brindar los estímulos económicos necesarios para que las y los creadores y artistas de las artes escénicas posicionen sus productos culturales en el estado, se distribuyan y se consuman de manera activa por los espectadores, completando de esta manera el ciclo de la producción escénica.</w:t>
      </w:r>
    </w:p>
    <w:p w14:paraId="1228887A" w14:textId="77777777" w:rsidR="003D22D6" w:rsidRPr="003D22D6" w:rsidRDefault="003D22D6" w:rsidP="003D22D6">
      <w:pPr>
        <w:spacing w:after="0" w:line="240" w:lineRule="auto"/>
        <w:jc w:val="both"/>
        <w:textAlignment w:val="baseline"/>
        <w:rPr>
          <w:rFonts w:ascii="Dosis" w:eastAsia="Times New Roman" w:hAnsi="Dosis" w:cs="Times New Roman"/>
          <w:sz w:val="24"/>
          <w:szCs w:val="24"/>
          <w:lang w:eastAsia="es-MX"/>
        </w:rPr>
      </w:pPr>
    </w:p>
    <w:p w14:paraId="38086825" w14:textId="721DB0A9" w:rsidR="003D22D6" w:rsidRDefault="003D22D6" w:rsidP="003D22D6">
      <w:pPr>
        <w:spacing w:after="0" w:line="240" w:lineRule="auto"/>
        <w:jc w:val="both"/>
        <w:textAlignment w:val="baseline"/>
        <w:rPr>
          <w:rFonts w:ascii="Arial" w:eastAsia="Times New Roman" w:hAnsi="Arial" w:cs="Arial"/>
          <w:b/>
          <w:bCs/>
          <w:color w:val="0A0A0A"/>
          <w:bdr w:val="none" w:sz="0" w:space="0" w:color="auto" w:frame="1"/>
          <w:lang w:eastAsia="es-MX"/>
        </w:rPr>
      </w:pPr>
      <w:r w:rsidRPr="003D22D6">
        <w:rPr>
          <w:rFonts w:ascii="Arial" w:eastAsia="Times New Roman" w:hAnsi="Arial" w:cs="Arial"/>
          <w:b/>
          <w:bCs/>
          <w:color w:val="0A0A0A"/>
          <w:bdr w:val="none" w:sz="0" w:space="0" w:color="auto" w:frame="1"/>
          <w:lang w:eastAsia="es-MX"/>
        </w:rPr>
        <w:t>Árbol de problemas</w:t>
      </w:r>
    </w:p>
    <w:p w14:paraId="780F33A2" w14:textId="77777777" w:rsidR="003D22D6" w:rsidRPr="003D22D6" w:rsidRDefault="003D22D6" w:rsidP="003D22D6">
      <w:pPr>
        <w:spacing w:after="0" w:line="240" w:lineRule="auto"/>
        <w:jc w:val="both"/>
        <w:textAlignment w:val="baseline"/>
        <w:rPr>
          <w:rFonts w:ascii="Dosis" w:eastAsia="Times New Roman" w:hAnsi="Dosis" w:cs="Times New Roman"/>
          <w:sz w:val="24"/>
          <w:szCs w:val="24"/>
          <w:lang w:eastAsia="es-MX"/>
        </w:rPr>
      </w:pPr>
    </w:p>
    <w:p w14:paraId="35901348" w14:textId="23921F2A" w:rsidR="003D22D6" w:rsidRPr="003D22D6" w:rsidRDefault="003D22D6" w:rsidP="003D22D6">
      <w:pPr>
        <w:shd w:val="clear" w:color="auto" w:fill="FFFFFF"/>
        <w:spacing w:after="0" w:line="240" w:lineRule="auto"/>
        <w:jc w:val="center"/>
        <w:textAlignment w:val="baseline"/>
        <w:rPr>
          <w:rFonts w:ascii="Dosis" w:eastAsia="Times New Roman" w:hAnsi="Dosis" w:cs="Times New Roman"/>
          <w:sz w:val="24"/>
          <w:szCs w:val="24"/>
          <w:lang w:eastAsia="es-MX"/>
        </w:rPr>
      </w:pPr>
      <w:r w:rsidRPr="003D22D6">
        <w:rPr>
          <w:rFonts w:ascii="Arial" w:hAnsi="Arial" w:cs="Arial"/>
          <w:b/>
          <w:noProof/>
          <w:color w:val="ED7D31" w:themeColor="accent2"/>
          <w:sz w:val="10"/>
          <w:szCs w:val="10"/>
        </w:rPr>
        <w:drawing>
          <wp:inline distT="0" distB="0" distL="0" distR="0" wp14:anchorId="41517DFF" wp14:editId="1DF6E3E9">
            <wp:extent cx="4314825" cy="2390775"/>
            <wp:effectExtent l="0" t="0" r="9525"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14825" cy="2390775"/>
                    </a:xfrm>
                    <a:prstGeom prst="rect">
                      <a:avLst/>
                    </a:prstGeom>
                    <a:noFill/>
                    <a:ln>
                      <a:noFill/>
                    </a:ln>
                  </pic:spPr>
                </pic:pic>
              </a:graphicData>
            </a:graphic>
          </wp:inline>
        </w:drawing>
      </w:r>
    </w:p>
    <w:p w14:paraId="734081B4" w14:textId="77777777" w:rsidR="003D22D6" w:rsidRPr="003D22D6" w:rsidRDefault="003D22D6" w:rsidP="003D22D6">
      <w:pPr>
        <w:spacing w:after="0" w:line="240" w:lineRule="auto"/>
        <w:jc w:val="both"/>
        <w:textAlignment w:val="baseline"/>
        <w:rPr>
          <w:rFonts w:ascii="Dosis" w:eastAsia="Times New Roman" w:hAnsi="Dosis" w:cs="Times New Roman"/>
          <w:sz w:val="24"/>
          <w:szCs w:val="24"/>
          <w:lang w:eastAsia="es-MX"/>
        </w:rPr>
      </w:pPr>
    </w:p>
    <w:p w14:paraId="489E93BA" w14:textId="77777777" w:rsidR="001A41CE" w:rsidRPr="001A41CE" w:rsidRDefault="001A41CE" w:rsidP="003255DE">
      <w:pPr>
        <w:pStyle w:val="Encabezado"/>
        <w:spacing w:before="240" w:after="120" w:line="276" w:lineRule="auto"/>
        <w:jc w:val="both"/>
        <w:rPr>
          <w:rFonts w:ascii="Arial" w:hAnsi="Arial" w:cs="Arial"/>
          <w:b/>
          <w:color w:val="ED7D31" w:themeColor="accent2"/>
          <w:sz w:val="10"/>
          <w:szCs w:val="10"/>
        </w:rPr>
      </w:pPr>
    </w:p>
    <w:sectPr w:rsidR="001A41CE" w:rsidRPr="001A41CE" w:rsidSect="00043A0B">
      <w:headerReference w:type="default" r:id="rId10"/>
      <w:footerReference w:type="default" r:id="rId11"/>
      <w:pgSz w:w="12240" w:h="15840"/>
      <w:pgMar w:top="2127" w:right="1041" w:bottom="720" w:left="993" w:header="708" w:footer="3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24BF0B" w14:textId="77777777" w:rsidR="00DE092F" w:rsidRDefault="00DE092F" w:rsidP="007B1FEB">
      <w:pPr>
        <w:spacing w:after="0" w:line="240" w:lineRule="auto"/>
      </w:pPr>
      <w:r>
        <w:separator/>
      </w:r>
    </w:p>
  </w:endnote>
  <w:endnote w:type="continuationSeparator" w:id="0">
    <w:p w14:paraId="37B80DF8" w14:textId="77777777" w:rsidR="00DE092F" w:rsidRDefault="00DE092F" w:rsidP="007B1F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osis">
    <w:altName w:val="Dosis"/>
    <w:charset w:val="00"/>
    <w:family w:val="auto"/>
    <w:pitch w:val="variable"/>
    <w:sig w:usb0="A00000BF" w:usb1="4000207B" w:usb2="00000000" w:usb3="00000000" w:csb0="00000093" w:csb1="00000000"/>
  </w:font>
  <w:font w:name="Nutmeg Book">
    <w:charset w:val="00"/>
    <w:family w:val="auto"/>
    <w:pitch w:val="variable"/>
    <w:sig w:usb0="00000007" w:usb1="00000001"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5"/>
      <w:gridCol w:w="3386"/>
      <w:gridCol w:w="3427"/>
    </w:tblGrid>
    <w:tr w:rsidR="00AE7691" w:rsidRPr="00777B35" w14:paraId="01289A19" w14:textId="77777777" w:rsidTr="00AE7691">
      <w:tc>
        <w:tcPr>
          <w:tcW w:w="3538" w:type="dxa"/>
        </w:tcPr>
        <w:p w14:paraId="5767B5C6" w14:textId="77777777" w:rsidR="00AE7691" w:rsidRPr="00777B35" w:rsidRDefault="00AE7691" w:rsidP="00777B35">
          <w:pPr>
            <w:pStyle w:val="Piedepgina"/>
            <w:rPr>
              <w:rFonts w:ascii="Century Gothic" w:hAnsi="Century Gothic"/>
              <w:b/>
              <w:sz w:val="16"/>
              <w:szCs w:val="16"/>
            </w:rPr>
          </w:pPr>
        </w:p>
      </w:tc>
      <w:tc>
        <w:tcPr>
          <w:tcW w:w="3647" w:type="dxa"/>
        </w:tcPr>
        <w:p w14:paraId="40B5627E" w14:textId="77777777" w:rsidR="00AE7691" w:rsidRPr="00777B35" w:rsidRDefault="00777B35" w:rsidP="00EA52D4">
          <w:pPr>
            <w:pStyle w:val="Piedepgina"/>
            <w:rPr>
              <w:rFonts w:ascii="Century Gothic" w:hAnsi="Century Gothic"/>
              <w:b/>
              <w:sz w:val="16"/>
              <w:szCs w:val="16"/>
            </w:rPr>
          </w:pPr>
          <w:r>
            <w:rPr>
              <w:rFonts w:ascii="Century Gothic" w:hAnsi="Century Gothic"/>
              <w:b/>
              <w:sz w:val="16"/>
              <w:szCs w:val="16"/>
            </w:rPr>
            <w:t xml:space="preserve">                              </w:t>
          </w:r>
        </w:p>
      </w:tc>
      <w:tc>
        <w:tcPr>
          <w:tcW w:w="3647" w:type="dxa"/>
        </w:tcPr>
        <w:sdt>
          <w:sdtPr>
            <w:rPr>
              <w:rFonts w:ascii="Century Gothic" w:hAnsi="Century Gothic" w:cs="Arial"/>
              <w:b/>
              <w:sz w:val="16"/>
              <w:szCs w:val="16"/>
            </w:rPr>
            <w:id w:val="676466578"/>
            <w:docPartObj>
              <w:docPartGallery w:val="Page Numbers (Bottom of Page)"/>
              <w:docPartUnique/>
            </w:docPartObj>
          </w:sdtPr>
          <w:sdtEndPr/>
          <w:sdtContent>
            <w:p w14:paraId="09905564" w14:textId="77777777" w:rsidR="00AE7691" w:rsidRPr="00777B35" w:rsidRDefault="00AE7691" w:rsidP="00822FF0">
              <w:pPr>
                <w:pStyle w:val="Piedepgina"/>
                <w:jc w:val="right"/>
                <w:rPr>
                  <w:rFonts w:ascii="Century Gothic" w:hAnsi="Century Gothic" w:cs="Arial"/>
                  <w:b/>
                  <w:sz w:val="16"/>
                  <w:szCs w:val="16"/>
                </w:rPr>
              </w:pPr>
              <w:r w:rsidRPr="00777B35">
                <w:rPr>
                  <w:rFonts w:ascii="Century Gothic" w:hAnsi="Century Gothic" w:cs="Arial"/>
                  <w:b/>
                  <w:sz w:val="16"/>
                  <w:szCs w:val="16"/>
                  <w:lang w:val="es-ES"/>
                </w:rPr>
                <w:t xml:space="preserve">Página </w:t>
              </w:r>
              <w:r w:rsidRPr="00777B35">
                <w:rPr>
                  <w:rFonts w:ascii="Century Gothic" w:hAnsi="Century Gothic" w:cs="Arial"/>
                  <w:b/>
                  <w:sz w:val="16"/>
                  <w:szCs w:val="16"/>
                </w:rPr>
                <w:fldChar w:fldCharType="begin"/>
              </w:r>
              <w:r w:rsidRPr="00777B35">
                <w:rPr>
                  <w:rFonts w:ascii="Century Gothic" w:hAnsi="Century Gothic" w:cs="Arial"/>
                  <w:b/>
                  <w:sz w:val="16"/>
                  <w:szCs w:val="16"/>
                </w:rPr>
                <w:instrText>PAGE  \* Arabic  \* MERGEFORMAT</w:instrText>
              </w:r>
              <w:r w:rsidRPr="00777B35">
                <w:rPr>
                  <w:rFonts w:ascii="Century Gothic" w:hAnsi="Century Gothic" w:cs="Arial"/>
                  <w:b/>
                  <w:sz w:val="16"/>
                  <w:szCs w:val="16"/>
                </w:rPr>
                <w:fldChar w:fldCharType="separate"/>
              </w:r>
              <w:r w:rsidR="00F138C8">
                <w:rPr>
                  <w:rFonts w:ascii="Century Gothic" w:hAnsi="Century Gothic" w:cs="Arial"/>
                  <w:b/>
                  <w:noProof/>
                  <w:sz w:val="16"/>
                  <w:szCs w:val="16"/>
                </w:rPr>
                <w:t>1</w:t>
              </w:r>
              <w:r w:rsidRPr="00777B35">
                <w:rPr>
                  <w:rFonts w:ascii="Century Gothic" w:hAnsi="Century Gothic" w:cs="Arial"/>
                  <w:b/>
                  <w:sz w:val="16"/>
                  <w:szCs w:val="16"/>
                </w:rPr>
                <w:fldChar w:fldCharType="end"/>
              </w:r>
              <w:r w:rsidRPr="00777B35">
                <w:rPr>
                  <w:rFonts w:ascii="Century Gothic" w:hAnsi="Century Gothic" w:cs="Arial"/>
                  <w:b/>
                  <w:sz w:val="16"/>
                  <w:szCs w:val="16"/>
                  <w:lang w:val="es-ES"/>
                </w:rPr>
                <w:t xml:space="preserve"> de </w:t>
              </w:r>
              <w:r w:rsidR="009E798E" w:rsidRPr="00777B35">
                <w:rPr>
                  <w:sz w:val="16"/>
                  <w:szCs w:val="16"/>
                </w:rPr>
                <w:fldChar w:fldCharType="begin"/>
              </w:r>
              <w:r w:rsidR="009E798E" w:rsidRPr="00777B35">
                <w:rPr>
                  <w:sz w:val="16"/>
                  <w:szCs w:val="16"/>
                </w:rPr>
                <w:instrText>NUMPAGES  \* Arabic  \* MERGEFORMAT</w:instrText>
              </w:r>
              <w:r w:rsidR="009E798E" w:rsidRPr="00777B35">
                <w:rPr>
                  <w:sz w:val="16"/>
                  <w:szCs w:val="16"/>
                </w:rPr>
                <w:fldChar w:fldCharType="separate"/>
              </w:r>
              <w:r w:rsidR="00F138C8" w:rsidRPr="00F138C8">
                <w:rPr>
                  <w:rFonts w:ascii="Century Gothic" w:hAnsi="Century Gothic" w:cs="Arial"/>
                  <w:b/>
                  <w:noProof/>
                  <w:sz w:val="16"/>
                  <w:szCs w:val="16"/>
                </w:rPr>
                <w:t>1</w:t>
              </w:r>
              <w:r w:rsidR="009E798E" w:rsidRPr="00777B35">
                <w:rPr>
                  <w:rFonts w:ascii="Century Gothic" w:hAnsi="Century Gothic" w:cs="Arial"/>
                  <w:b/>
                  <w:noProof/>
                  <w:sz w:val="16"/>
                  <w:szCs w:val="16"/>
                </w:rPr>
                <w:fldChar w:fldCharType="end"/>
              </w:r>
            </w:p>
          </w:sdtContent>
        </w:sdt>
      </w:tc>
    </w:tr>
  </w:tbl>
  <w:p w14:paraId="0DAC707A" w14:textId="77777777" w:rsidR="00CC21EA" w:rsidRPr="00AE7691" w:rsidRDefault="00673573" w:rsidP="00AE7691">
    <w:pPr>
      <w:pStyle w:val="Piedepgina"/>
      <w:jc w:val="right"/>
      <w:rPr>
        <w:rFonts w:ascii="Arial" w:hAnsi="Arial" w:cs="Arial"/>
        <w:sz w:val="20"/>
        <w:szCs w:val="20"/>
      </w:rPr>
    </w:pPr>
    <w:r>
      <w:rPr>
        <w:noProof/>
        <w:lang w:eastAsia="es-MX"/>
      </w:rPr>
      <mc:AlternateContent>
        <mc:Choice Requires="wps">
          <w:drawing>
            <wp:anchor distT="0" distB="0" distL="114300" distR="114300" simplePos="0" relativeHeight="251671552" behindDoc="0" locked="0" layoutInCell="1" allowOverlap="1" wp14:anchorId="561FF178" wp14:editId="227F79F6">
              <wp:simplePos x="0" y="0"/>
              <wp:positionH relativeFrom="column">
                <wp:posOffset>-628650</wp:posOffset>
              </wp:positionH>
              <wp:positionV relativeFrom="paragraph">
                <wp:posOffset>89535</wp:posOffset>
              </wp:positionV>
              <wp:extent cx="7823835" cy="304800"/>
              <wp:effectExtent l="0" t="0" r="571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23835" cy="304800"/>
                      </a:xfrm>
                      <a:prstGeom prst="rect">
                        <a:avLst/>
                      </a:prstGeom>
                      <a:solidFill>
                        <a:srgbClr val="FF8300"/>
                      </a:solidFill>
                      <a:ln>
                        <a:noFill/>
                      </a:ln>
                    </wps:spPr>
                    <wps:txbx>
                      <w:txbxContent>
                        <w:p w14:paraId="3D73AA64" w14:textId="77777777" w:rsidR="00777B35" w:rsidRPr="00043A0B" w:rsidRDefault="00777B35" w:rsidP="00777B35">
                          <w:pPr>
                            <w:jc w:val="center"/>
                            <w:rPr>
                              <w:b/>
                              <w:color w:val="323E4F" w:themeColor="text2" w:themeShade="BF"/>
                            </w:rPr>
                          </w:pPr>
                          <w:r w:rsidRPr="00043A0B">
                            <w:rPr>
                              <w:b/>
                              <w:color w:val="323E4F" w:themeColor="text2" w:themeShade="BF"/>
                              <w:spacing w:val="20"/>
                              <w:lang w:val="es-ES"/>
                            </w:rPr>
                            <w:t>programas.app.jalisco.gob.mx</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61FF178" id="Rectángulo 3" o:spid="_x0000_s1026" style="position:absolute;left:0;text-align:left;margin-left:-49.5pt;margin-top:7.05pt;width:616.05pt;height:2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" fillcolor="#ff8300" stroked="f">
              <v:textbox>
                <w:txbxContent>
                  <w:p w14:paraId="3D73AA64" w14:textId="77777777" w:rsidR="00777B35" w:rsidRPr="00043A0B" w:rsidRDefault="00777B35" w:rsidP="00777B35">
                    <w:pPr>
                      <w:jc w:val="center"/>
                      <w:rPr>
                        <w:b/>
                        <w:color w:val="323E4F" w:themeColor="text2" w:themeShade="BF"/>
                      </w:rPr>
                    </w:pPr>
                    <w:r w:rsidRPr="00043A0B">
                      <w:rPr>
                        <w:b/>
                        <w:color w:val="323E4F" w:themeColor="text2" w:themeShade="BF"/>
                        <w:spacing w:val="20"/>
                        <w:lang w:val="es-ES"/>
                      </w:rPr>
                      <w:t>programas.app.jalisco.gob.mx</w:t>
                    </w:r>
                  </w:p>
                </w:txbxContent>
              </v:textbox>
            </v:rect>
          </w:pict>
        </mc:Fallback>
      </mc:AlternateContent>
    </w:r>
    <w:r w:rsidR="00AE7691">
      <w:rPr>
        <w:rFonts w:ascii="Arial" w:hAnsi="Arial" w:cs="Arial"/>
        <w:sz w:val="20"/>
        <w:szCs w:val="20"/>
      </w:rPr>
      <w:t xml:space="preserve"> </w:t>
    </w:r>
    <w:sdt>
      <w:sdtPr>
        <w:rPr>
          <w:rFonts w:ascii="Arial" w:hAnsi="Arial" w:cs="Arial"/>
          <w:sz w:val="20"/>
          <w:szCs w:val="20"/>
        </w:rPr>
        <w:id w:val="-1673488533"/>
        <w:docPartObj>
          <w:docPartGallery w:val="Page Numbers (Bottom of Page)"/>
          <w:docPartUnique/>
        </w:docPartObj>
      </w:sdtPr>
      <w:sdtEndPr/>
      <w:sdtContent/>
    </w:sdt>
    <w:r>
      <w:rPr>
        <w:rFonts w:ascii="Times New Roman" w:hAnsi="Times New Roman" w:cs="Times New Roman"/>
        <w:noProof/>
        <w:sz w:val="24"/>
        <w:szCs w:val="24"/>
        <w:lang w:eastAsia="es-MX"/>
      </w:rPr>
      <mc:AlternateContent>
        <mc:Choice Requires="wps">
          <w:drawing>
            <wp:anchor distT="0" distB="0" distL="114300" distR="114300" simplePos="0" relativeHeight="251669504" behindDoc="0" locked="0" layoutInCell="1" allowOverlap="1" wp14:anchorId="0F76A564" wp14:editId="55B3AAB2">
              <wp:simplePos x="0" y="0"/>
              <wp:positionH relativeFrom="column">
                <wp:posOffset>-103505</wp:posOffset>
              </wp:positionH>
              <wp:positionV relativeFrom="paragraph">
                <wp:posOffset>9768205</wp:posOffset>
              </wp:positionV>
              <wp:extent cx="7823835" cy="175895"/>
              <wp:effectExtent l="0" t="0" r="0" b="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23835" cy="175895"/>
                      </a:xfrm>
                      <a:prstGeom prst="rect">
                        <a:avLst/>
                      </a:prstGeom>
                      <a:solidFill>
                        <a:srgbClr val="FF8300"/>
                      </a:soli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640CCD8" id="Rectángulo 2" o:spid="_x0000_s1026" style="position:absolute;margin-left:-8.15pt;margin-top:769.15pt;width:616.05pt;height:13.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" fillcolor="#ff8300" stroked="f"/>
          </w:pict>
        </mc:Fallback>
      </mc:AlternateContent>
    </w:r>
    <w:r>
      <w:rPr>
        <w:rFonts w:ascii="Times New Roman" w:hAnsi="Times New Roman" w:cs="Times New Roman"/>
        <w:noProof/>
        <w:sz w:val="24"/>
        <w:szCs w:val="24"/>
        <w:lang w:eastAsia="es-MX"/>
      </w:rPr>
      <mc:AlternateContent>
        <mc:Choice Requires="wps">
          <w:drawing>
            <wp:anchor distT="0" distB="0" distL="114300" distR="114300" simplePos="0" relativeHeight="251667456" behindDoc="0" locked="0" layoutInCell="1" allowOverlap="1" wp14:anchorId="68A83F6F" wp14:editId="19967E30">
              <wp:simplePos x="0" y="0"/>
              <wp:positionH relativeFrom="column">
                <wp:posOffset>-103505</wp:posOffset>
              </wp:positionH>
              <wp:positionV relativeFrom="paragraph">
                <wp:posOffset>9768205</wp:posOffset>
              </wp:positionV>
              <wp:extent cx="7823835" cy="175895"/>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23835" cy="175895"/>
                      </a:xfrm>
                      <a:prstGeom prst="rect">
                        <a:avLst/>
                      </a:prstGeom>
                      <a:solidFill>
                        <a:srgbClr val="FF8300"/>
                      </a:soli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A901FD7" id="Rectángulo 1" o:spid="_x0000_s1026" style="position:absolute;margin-left:-8.15pt;margin-top:769.15pt;width:616.05pt;height:13.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" fillcolor="#ff8300" stroked="f"/>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B2A9EC" w14:textId="77777777" w:rsidR="00DE092F" w:rsidRDefault="00DE092F" w:rsidP="007B1FEB">
      <w:pPr>
        <w:spacing w:after="0" w:line="240" w:lineRule="auto"/>
      </w:pPr>
      <w:r>
        <w:separator/>
      </w:r>
    </w:p>
  </w:footnote>
  <w:footnote w:type="continuationSeparator" w:id="0">
    <w:p w14:paraId="2A0545CC" w14:textId="77777777" w:rsidR="00DE092F" w:rsidRDefault="00DE092F" w:rsidP="007B1F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0"/>
      <w:gridCol w:w="3403"/>
      <w:gridCol w:w="3403"/>
    </w:tblGrid>
    <w:tr w:rsidR="00E36D60" w14:paraId="706B41C8" w14:textId="77777777" w:rsidTr="003255DE">
      <w:trPr>
        <w:trHeight w:val="851"/>
      </w:trPr>
      <w:tc>
        <w:tcPr>
          <w:tcW w:w="1666" w:type="pct"/>
          <w:shd w:val="clear" w:color="auto" w:fill="auto"/>
        </w:tcPr>
        <w:p w14:paraId="26ED16CE" w14:textId="77777777" w:rsidR="00E36D60" w:rsidRDefault="003255DE" w:rsidP="00CB7A0D">
          <w:pPr>
            <w:pStyle w:val="Encabezado"/>
            <w:rPr>
              <w:rFonts w:ascii="Arial" w:hAnsi="Arial" w:cs="Arial"/>
              <w:color w:val="404040" w:themeColor="text1" w:themeTint="BF"/>
              <w:sz w:val="18"/>
              <w:szCs w:val="18"/>
            </w:rPr>
          </w:pPr>
          <w:r w:rsidRPr="00CB7A0D">
            <w:rPr>
              <w:noProof/>
              <w:color w:val="404040" w:themeColor="text1" w:themeTint="BF"/>
              <w:sz w:val="16"/>
              <w:szCs w:val="16"/>
              <w:lang w:eastAsia="es-MX"/>
            </w:rPr>
            <w:drawing>
              <wp:anchor distT="0" distB="0" distL="114300" distR="114300" simplePos="0" relativeHeight="251663360" behindDoc="0" locked="0" layoutInCell="1" allowOverlap="1" wp14:anchorId="6D16F6C7" wp14:editId="25063255">
                <wp:simplePos x="0" y="0"/>
                <wp:positionH relativeFrom="column">
                  <wp:posOffset>17145</wp:posOffset>
                </wp:positionH>
                <wp:positionV relativeFrom="paragraph">
                  <wp:posOffset>-40005</wp:posOffset>
                </wp:positionV>
                <wp:extent cx="2047875" cy="548201"/>
                <wp:effectExtent l="0" t="0" r="0" b="4445"/>
                <wp:wrapNone/>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
                          <a:extLst>
                            <a:ext uri="{28A0092B-C50C-407E-A947-70E740481C1C}">
                              <a14:useLocalDpi xmlns:a14="http://schemas.microsoft.com/office/drawing/2010/main" val="0"/>
                            </a:ext>
                          </a:extLst>
                        </a:blip>
                        <a:srcRect l="6272" t="11225" r="5052" b="13575"/>
                        <a:stretch/>
                      </pic:blipFill>
                      <pic:spPr bwMode="auto">
                        <a:xfrm>
                          <a:off x="0" y="0"/>
                          <a:ext cx="2047875" cy="54820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667" w:type="pct"/>
          <w:shd w:val="clear" w:color="auto" w:fill="auto"/>
        </w:tcPr>
        <w:p w14:paraId="7090945B" w14:textId="77777777" w:rsidR="00E36D60" w:rsidRDefault="003255DE" w:rsidP="00E36D60">
          <w:pPr>
            <w:pStyle w:val="Encabezado"/>
            <w:jc w:val="center"/>
            <w:rPr>
              <w:rFonts w:ascii="Arial" w:hAnsi="Arial" w:cs="Arial"/>
              <w:color w:val="404040" w:themeColor="text1" w:themeTint="BF"/>
              <w:sz w:val="18"/>
              <w:szCs w:val="18"/>
            </w:rPr>
          </w:pPr>
          <w:r>
            <w:rPr>
              <w:rFonts w:ascii="Nutmeg Book" w:eastAsia="Nutmeg Book" w:hAnsi="Nutmeg Book" w:cs="Nutmeg Book"/>
              <w:noProof/>
              <w:sz w:val="26"/>
              <w:szCs w:val="26"/>
              <w:lang w:eastAsia="es-MX"/>
            </w:rPr>
            <w:drawing>
              <wp:anchor distT="0" distB="0" distL="114300" distR="114300" simplePos="0" relativeHeight="251673600" behindDoc="0" locked="0" layoutInCell="1" allowOverlap="1" wp14:anchorId="79C5B6AD" wp14:editId="30FDF5D9">
                <wp:simplePos x="0" y="0"/>
                <wp:positionH relativeFrom="column">
                  <wp:posOffset>837565</wp:posOffset>
                </wp:positionH>
                <wp:positionV relativeFrom="paragraph">
                  <wp:posOffset>-44450</wp:posOffset>
                </wp:positionV>
                <wp:extent cx="1257300" cy="505185"/>
                <wp:effectExtent l="0" t="0" r="0" b="9525"/>
                <wp:wrapNone/>
                <wp:docPr id="19"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Picture 511"/>
                        <pic:cNvPicPr/>
                      </pic:nvPicPr>
                      <pic:blipFill>
                        <a:blip r:embed="rId2">
                          <a:extLst>
                            <a:ext uri="{28A0092B-C50C-407E-A947-70E740481C1C}">
                              <a14:useLocalDpi xmlns:a14="http://schemas.microsoft.com/office/drawing/2010/main" val="0"/>
                            </a:ext>
                          </a:extLst>
                        </a:blip>
                        <a:stretch>
                          <a:fillRect/>
                        </a:stretch>
                      </pic:blipFill>
                      <pic:spPr>
                        <a:xfrm>
                          <a:off x="0" y="0"/>
                          <a:ext cx="1257300" cy="505185"/>
                        </a:xfrm>
                        <a:prstGeom prst="rect">
                          <a:avLst/>
                        </a:prstGeom>
                      </pic:spPr>
                    </pic:pic>
                  </a:graphicData>
                </a:graphic>
                <wp14:sizeRelH relativeFrom="page">
                  <wp14:pctWidth>0</wp14:pctWidth>
                </wp14:sizeRelH>
                <wp14:sizeRelV relativeFrom="page">
                  <wp14:pctHeight>0</wp14:pctHeight>
                </wp14:sizeRelV>
              </wp:anchor>
            </w:drawing>
          </w:r>
        </w:p>
      </w:tc>
      <w:tc>
        <w:tcPr>
          <w:tcW w:w="1667" w:type="pct"/>
          <w:shd w:val="clear" w:color="auto" w:fill="auto"/>
        </w:tcPr>
        <w:p w14:paraId="759857BF" w14:textId="77777777" w:rsidR="00E36D60" w:rsidRPr="00E36D60" w:rsidRDefault="003255DE" w:rsidP="00CB7A0D">
          <w:pPr>
            <w:pStyle w:val="Encabezado"/>
            <w:rPr>
              <w:rFonts w:ascii="Arial" w:hAnsi="Arial" w:cs="Arial"/>
              <w:color w:val="404040" w:themeColor="text1" w:themeTint="BF"/>
              <w:sz w:val="20"/>
              <w:szCs w:val="20"/>
            </w:rPr>
          </w:pPr>
          <w:r w:rsidRPr="00E36D60">
            <w:rPr>
              <w:noProof/>
              <w:color w:val="404040" w:themeColor="text1" w:themeTint="BF"/>
              <w:sz w:val="16"/>
              <w:szCs w:val="16"/>
              <w:lang w:eastAsia="es-MX"/>
            </w:rPr>
            <w:drawing>
              <wp:anchor distT="0" distB="0" distL="114300" distR="114300" simplePos="0" relativeHeight="251665408" behindDoc="0" locked="0" layoutInCell="1" allowOverlap="1" wp14:anchorId="19CD47FF" wp14:editId="734FC405">
                <wp:simplePos x="0" y="0"/>
                <wp:positionH relativeFrom="column">
                  <wp:posOffset>1122680</wp:posOffset>
                </wp:positionH>
                <wp:positionV relativeFrom="paragraph">
                  <wp:posOffset>-190500</wp:posOffset>
                </wp:positionV>
                <wp:extent cx="694794" cy="657225"/>
                <wp:effectExtent l="0" t="0" r="0" b="0"/>
                <wp:wrapNone/>
                <wp:docPr id="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3">
                          <a:extLst>
                            <a:ext uri="{28A0092B-C50C-407E-A947-70E740481C1C}">
                              <a14:useLocalDpi xmlns:a14="http://schemas.microsoft.com/office/drawing/2010/main" val="0"/>
                            </a:ext>
                          </a:extLst>
                        </a:blip>
                        <a:srcRect l="5009" t="8174" r="76056" b="9412"/>
                        <a:stretch/>
                      </pic:blipFill>
                      <pic:spPr bwMode="auto">
                        <a:xfrm>
                          <a:off x="0" y="0"/>
                          <a:ext cx="694794" cy="657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5DC7782F" w14:textId="77777777" w:rsidR="00CC21EA" w:rsidRPr="00E36D60" w:rsidRDefault="00CC21EA" w:rsidP="00CB7A0D">
    <w:pPr>
      <w:pStyle w:val="Encabezado"/>
      <w:rPr>
        <w:rFonts w:ascii="Arial" w:hAnsi="Arial" w:cs="Arial"/>
        <w:color w:val="404040" w:themeColor="text1" w:themeTint="BF"/>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0746B"/>
    <w:multiLevelType w:val="multilevel"/>
    <w:tmpl w:val="FF2AA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9939B3"/>
    <w:multiLevelType w:val="multilevel"/>
    <w:tmpl w:val="AE6255AE"/>
    <w:lvl w:ilvl="0">
      <w:start w:val="1"/>
      <w:numFmt w:val="decimal"/>
      <w:lvlText w:val="%1."/>
      <w:lvlJc w:val="left"/>
      <w:pPr>
        <w:ind w:left="4755" w:hanging="360"/>
      </w:pPr>
      <w:rPr>
        <w:rFonts w:hint="default"/>
        <w:b/>
        <w:color w:val="767171" w:themeColor="background2" w:themeShade="80"/>
      </w:rPr>
    </w:lvl>
    <w:lvl w:ilvl="1">
      <w:start w:val="1"/>
      <w:numFmt w:val="upperRoman"/>
      <w:lvlText w:val="%2."/>
      <w:lvlJc w:val="left"/>
      <w:pPr>
        <w:ind w:left="5475" w:hanging="360"/>
      </w:pPr>
      <w:rPr>
        <w:rFonts w:hint="default"/>
      </w:rPr>
    </w:lvl>
    <w:lvl w:ilvl="2">
      <w:start w:val="1"/>
      <w:numFmt w:val="lowerLetter"/>
      <w:lvlText w:val="%3."/>
      <w:lvlJc w:val="right"/>
      <w:pPr>
        <w:ind w:left="6195" w:hanging="180"/>
      </w:pPr>
      <w:rPr>
        <w:rFonts w:hint="default"/>
      </w:rPr>
    </w:lvl>
    <w:lvl w:ilvl="3">
      <w:start w:val="1"/>
      <w:numFmt w:val="decimal"/>
      <w:lvlText w:val="%4."/>
      <w:lvlJc w:val="left"/>
      <w:pPr>
        <w:ind w:left="6915" w:hanging="360"/>
      </w:pPr>
      <w:rPr>
        <w:rFonts w:hint="default"/>
      </w:rPr>
    </w:lvl>
    <w:lvl w:ilvl="4">
      <w:start w:val="1"/>
      <w:numFmt w:val="lowerLetter"/>
      <w:lvlText w:val="%5."/>
      <w:lvlJc w:val="left"/>
      <w:pPr>
        <w:ind w:left="7635" w:hanging="360"/>
      </w:pPr>
      <w:rPr>
        <w:rFonts w:hint="default"/>
      </w:rPr>
    </w:lvl>
    <w:lvl w:ilvl="5">
      <w:start w:val="1"/>
      <w:numFmt w:val="lowerRoman"/>
      <w:lvlText w:val="%6."/>
      <w:lvlJc w:val="right"/>
      <w:pPr>
        <w:ind w:left="8355" w:hanging="180"/>
      </w:pPr>
      <w:rPr>
        <w:rFonts w:hint="default"/>
      </w:rPr>
    </w:lvl>
    <w:lvl w:ilvl="6">
      <w:start w:val="1"/>
      <w:numFmt w:val="decimal"/>
      <w:lvlText w:val="%7."/>
      <w:lvlJc w:val="left"/>
      <w:pPr>
        <w:ind w:left="9075" w:hanging="360"/>
      </w:pPr>
      <w:rPr>
        <w:rFonts w:hint="default"/>
      </w:rPr>
    </w:lvl>
    <w:lvl w:ilvl="7">
      <w:start w:val="1"/>
      <w:numFmt w:val="lowerLetter"/>
      <w:lvlText w:val="%8."/>
      <w:lvlJc w:val="left"/>
      <w:pPr>
        <w:ind w:left="9795" w:hanging="360"/>
      </w:pPr>
      <w:rPr>
        <w:rFonts w:hint="default"/>
      </w:rPr>
    </w:lvl>
    <w:lvl w:ilvl="8">
      <w:start w:val="1"/>
      <w:numFmt w:val="lowerRoman"/>
      <w:lvlText w:val="%9."/>
      <w:lvlJc w:val="right"/>
      <w:pPr>
        <w:ind w:left="10515" w:hanging="180"/>
      </w:pPr>
      <w:rPr>
        <w:rFonts w:hint="default"/>
      </w:rPr>
    </w:lvl>
  </w:abstractNum>
  <w:abstractNum w:abstractNumId="2" w15:restartNumberingAfterBreak="0">
    <w:nsid w:val="79CF4041"/>
    <w:multiLevelType w:val="multilevel"/>
    <w:tmpl w:val="9F867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550"/>
    <w:rsid w:val="00011D35"/>
    <w:rsid w:val="000207F0"/>
    <w:rsid w:val="0003521A"/>
    <w:rsid w:val="00043A0B"/>
    <w:rsid w:val="000554E9"/>
    <w:rsid w:val="00070040"/>
    <w:rsid w:val="000741E0"/>
    <w:rsid w:val="00076C77"/>
    <w:rsid w:val="0009330C"/>
    <w:rsid w:val="000A3E6C"/>
    <w:rsid w:val="000B1058"/>
    <w:rsid w:val="000D0550"/>
    <w:rsid w:val="000F7ABA"/>
    <w:rsid w:val="00121727"/>
    <w:rsid w:val="00147AF9"/>
    <w:rsid w:val="00177089"/>
    <w:rsid w:val="00183D6D"/>
    <w:rsid w:val="001A41CE"/>
    <w:rsid w:val="001B00F3"/>
    <w:rsid w:val="001B5D19"/>
    <w:rsid w:val="001E270F"/>
    <w:rsid w:val="00202EFB"/>
    <w:rsid w:val="00213273"/>
    <w:rsid w:val="002161C2"/>
    <w:rsid w:val="002302D1"/>
    <w:rsid w:val="00232252"/>
    <w:rsid w:val="002463DE"/>
    <w:rsid w:val="00255BCC"/>
    <w:rsid w:val="002723DF"/>
    <w:rsid w:val="002A3FAE"/>
    <w:rsid w:val="003255DE"/>
    <w:rsid w:val="0035394A"/>
    <w:rsid w:val="003555FD"/>
    <w:rsid w:val="00362F42"/>
    <w:rsid w:val="003756F7"/>
    <w:rsid w:val="00380FDA"/>
    <w:rsid w:val="0038279D"/>
    <w:rsid w:val="003A4F07"/>
    <w:rsid w:val="003C42E8"/>
    <w:rsid w:val="003C7704"/>
    <w:rsid w:val="003D22D6"/>
    <w:rsid w:val="00443319"/>
    <w:rsid w:val="00451ECE"/>
    <w:rsid w:val="00472E74"/>
    <w:rsid w:val="004A1AB8"/>
    <w:rsid w:val="004C5626"/>
    <w:rsid w:val="004C6EBE"/>
    <w:rsid w:val="004C7264"/>
    <w:rsid w:val="004D0D17"/>
    <w:rsid w:val="004D1623"/>
    <w:rsid w:val="004D6767"/>
    <w:rsid w:val="004E169B"/>
    <w:rsid w:val="0051275C"/>
    <w:rsid w:val="005577BA"/>
    <w:rsid w:val="00575081"/>
    <w:rsid w:val="005B4BA5"/>
    <w:rsid w:val="005C2F67"/>
    <w:rsid w:val="005C673B"/>
    <w:rsid w:val="005F57B2"/>
    <w:rsid w:val="006075E5"/>
    <w:rsid w:val="006513D2"/>
    <w:rsid w:val="0065650A"/>
    <w:rsid w:val="00673573"/>
    <w:rsid w:val="006A7331"/>
    <w:rsid w:val="006F6EE8"/>
    <w:rsid w:val="00751B1B"/>
    <w:rsid w:val="00760328"/>
    <w:rsid w:val="00777B35"/>
    <w:rsid w:val="0079720D"/>
    <w:rsid w:val="007B1FEB"/>
    <w:rsid w:val="007B6317"/>
    <w:rsid w:val="007C24C7"/>
    <w:rsid w:val="007D1C39"/>
    <w:rsid w:val="007F5A90"/>
    <w:rsid w:val="00811BEC"/>
    <w:rsid w:val="0081217B"/>
    <w:rsid w:val="00822FF0"/>
    <w:rsid w:val="00835BEA"/>
    <w:rsid w:val="00837687"/>
    <w:rsid w:val="00842EFE"/>
    <w:rsid w:val="00891878"/>
    <w:rsid w:val="008C0BDE"/>
    <w:rsid w:val="008D5C40"/>
    <w:rsid w:val="008D5EAD"/>
    <w:rsid w:val="008F2E1A"/>
    <w:rsid w:val="00957951"/>
    <w:rsid w:val="00957BBC"/>
    <w:rsid w:val="00960867"/>
    <w:rsid w:val="009901DE"/>
    <w:rsid w:val="009E0775"/>
    <w:rsid w:val="009E798E"/>
    <w:rsid w:val="00A64AC1"/>
    <w:rsid w:val="00A6602C"/>
    <w:rsid w:val="00A81DA9"/>
    <w:rsid w:val="00AD7B00"/>
    <w:rsid w:val="00AE7691"/>
    <w:rsid w:val="00AF5580"/>
    <w:rsid w:val="00B126D3"/>
    <w:rsid w:val="00B127F2"/>
    <w:rsid w:val="00B13478"/>
    <w:rsid w:val="00B16CCD"/>
    <w:rsid w:val="00B479F6"/>
    <w:rsid w:val="00B835C5"/>
    <w:rsid w:val="00BA161D"/>
    <w:rsid w:val="00BA5332"/>
    <w:rsid w:val="00C54EF1"/>
    <w:rsid w:val="00C66B44"/>
    <w:rsid w:val="00C72F80"/>
    <w:rsid w:val="00C90D9C"/>
    <w:rsid w:val="00C91609"/>
    <w:rsid w:val="00CA635C"/>
    <w:rsid w:val="00CB7A0D"/>
    <w:rsid w:val="00CC21EA"/>
    <w:rsid w:val="00CD715F"/>
    <w:rsid w:val="00CE2DA3"/>
    <w:rsid w:val="00D624CC"/>
    <w:rsid w:val="00D80748"/>
    <w:rsid w:val="00DD32B0"/>
    <w:rsid w:val="00DE092F"/>
    <w:rsid w:val="00E104FB"/>
    <w:rsid w:val="00E36D60"/>
    <w:rsid w:val="00E40F0E"/>
    <w:rsid w:val="00E57CFB"/>
    <w:rsid w:val="00E70AF9"/>
    <w:rsid w:val="00EA52D4"/>
    <w:rsid w:val="00EB67E5"/>
    <w:rsid w:val="00EC394B"/>
    <w:rsid w:val="00EC4916"/>
    <w:rsid w:val="00ED7560"/>
    <w:rsid w:val="00F1019E"/>
    <w:rsid w:val="00F138C8"/>
    <w:rsid w:val="00F40472"/>
    <w:rsid w:val="00F4195F"/>
    <w:rsid w:val="00F47997"/>
    <w:rsid w:val="00F718A2"/>
    <w:rsid w:val="00F879FF"/>
    <w:rsid w:val="00F92CAE"/>
    <w:rsid w:val="00FC005D"/>
    <w:rsid w:val="00FD677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611A27"/>
  <w15:docId w15:val="{12D5B10A-FEAC-4363-80AD-5247F07EC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56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D0550"/>
    <w:pPr>
      <w:ind w:left="720"/>
      <w:contextualSpacing/>
    </w:pPr>
  </w:style>
  <w:style w:type="paragraph" w:styleId="Encabezado">
    <w:name w:val="header"/>
    <w:basedOn w:val="Normal"/>
    <w:link w:val="EncabezadoCar"/>
    <w:uiPriority w:val="99"/>
    <w:unhideWhenUsed/>
    <w:rsid w:val="007B1FE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B1FEB"/>
  </w:style>
  <w:style w:type="paragraph" w:styleId="Piedepgina">
    <w:name w:val="footer"/>
    <w:basedOn w:val="Normal"/>
    <w:link w:val="PiedepginaCar"/>
    <w:uiPriority w:val="99"/>
    <w:unhideWhenUsed/>
    <w:rsid w:val="007B1FE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B1FEB"/>
  </w:style>
  <w:style w:type="table" w:styleId="Tablaconcuadrcula">
    <w:name w:val="Table Grid"/>
    <w:basedOn w:val="Tablanormal"/>
    <w:uiPriority w:val="39"/>
    <w:rsid w:val="004C6E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C9160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91609"/>
    <w:rPr>
      <w:rFonts w:ascii="Segoe UI" w:hAnsi="Segoe UI" w:cs="Segoe UI"/>
      <w:sz w:val="18"/>
      <w:szCs w:val="18"/>
    </w:rPr>
  </w:style>
  <w:style w:type="table" w:customStyle="1" w:styleId="Tabladecuadrcula5oscura-nfasis31">
    <w:name w:val="Tabla de cuadrícula 5 oscura - Énfasis 31"/>
    <w:basedOn w:val="Tablanormal"/>
    <w:uiPriority w:val="50"/>
    <w:rsid w:val="00575081"/>
    <w:pPr>
      <w:spacing w:after="0" w:line="240" w:lineRule="auto"/>
    </w:pPr>
    <w:tblPr>
      <w:tblStyleRowBandSize w:val="1"/>
      <w:tblStyleColBandSize w:val="1"/>
      <w:tblBorders>
        <w:top w:val="single" w:sz="4" w:space="0" w:color="D5DCE4" w:themeColor="text2" w:themeTint="33"/>
        <w:left w:val="single" w:sz="4" w:space="0" w:color="D5DCE4" w:themeColor="text2" w:themeTint="33"/>
        <w:bottom w:val="single" w:sz="4" w:space="0" w:color="D5DCE4" w:themeColor="text2" w:themeTint="33"/>
        <w:right w:val="single" w:sz="4" w:space="0" w:color="D5DCE4" w:themeColor="text2" w:themeTint="33"/>
        <w:insideH w:val="single" w:sz="4" w:space="0" w:color="D5DCE4" w:themeColor="text2" w:themeTint="33"/>
        <w:insideV w:val="single" w:sz="4" w:space="0" w:color="D5DCE4" w:themeColor="text2" w:themeTint="33"/>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NormalWeb">
    <w:name w:val="Normal (Web)"/>
    <w:basedOn w:val="Normal"/>
    <w:uiPriority w:val="99"/>
    <w:semiHidden/>
    <w:unhideWhenUsed/>
    <w:rsid w:val="003C42E8"/>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Hipervnculo">
    <w:name w:val="Hyperlink"/>
    <w:basedOn w:val="Fuentedeprrafopredeter"/>
    <w:uiPriority w:val="99"/>
    <w:semiHidden/>
    <w:unhideWhenUsed/>
    <w:rsid w:val="003D22D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73824">
      <w:bodyDiv w:val="1"/>
      <w:marLeft w:val="0"/>
      <w:marRight w:val="0"/>
      <w:marTop w:val="0"/>
      <w:marBottom w:val="0"/>
      <w:divBdr>
        <w:top w:val="none" w:sz="0" w:space="0" w:color="auto"/>
        <w:left w:val="none" w:sz="0" w:space="0" w:color="auto"/>
        <w:bottom w:val="none" w:sz="0" w:space="0" w:color="auto"/>
        <w:right w:val="none" w:sz="0" w:space="0" w:color="auto"/>
      </w:divBdr>
    </w:div>
    <w:div w:id="389962117">
      <w:bodyDiv w:val="1"/>
      <w:marLeft w:val="0"/>
      <w:marRight w:val="0"/>
      <w:marTop w:val="0"/>
      <w:marBottom w:val="0"/>
      <w:divBdr>
        <w:top w:val="none" w:sz="0" w:space="0" w:color="auto"/>
        <w:left w:val="none" w:sz="0" w:space="0" w:color="auto"/>
        <w:bottom w:val="none" w:sz="0" w:space="0" w:color="auto"/>
        <w:right w:val="none" w:sz="0" w:space="0" w:color="auto"/>
      </w:divBdr>
    </w:div>
    <w:div w:id="439909844">
      <w:bodyDiv w:val="1"/>
      <w:marLeft w:val="0"/>
      <w:marRight w:val="0"/>
      <w:marTop w:val="0"/>
      <w:marBottom w:val="0"/>
      <w:divBdr>
        <w:top w:val="none" w:sz="0" w:space="0" w:color="auto"/>
        <w:left w:val="none" w:sz="0" w:space="0" w:color="auto"/>
        <w:bottom w:val="none" w:sz="0" w:space="0" w:color="auto"/>
        <w:right w:val="none" w:sz="0" w:space="0" w:color="auto"/>
      </w:divBdr>
    </w:div>
    <w:div w:id="589705211">
      <w:bodyDiv w:val="1"/>
      <w:marLeft w:val="0"/>
      <w:marRight w:val="0"/>
      <w:marTop w:val="0"/>
      <w:marBottom w:val="0"/>
      <w:divBdr>
        <w:top w:val="none" w:sz="0" w:space="0" w:color="auto"/>
        <w:left w:val="none" w:sz="0" w:space="0" w:color="auto"/>
        <w:bottom w:val="none" w:sz="0" w:space="0" w:color="auto"/>
        <w:right w:val="none" w:sz="0" w:space="0" w:color="auto"/>
      </w:divBdr>
    </w:div>
    <w:div w:id="655647774">
      <w:bodyDiv w:val="1"/>
      <w:marLeft w:val="0"/>
      <w:marRight w:val="0"/>
      <w:marTop w:val="0"/>
      <w:marBottom w:val="0"/>
      <w:divBdr>
        <w:top w:val="none" w:sz="0" w:space="0" w:color="auto"/>
        <w:left w:val="none" w:sz="0" w:space="0" w:color="auto"/>
        <w:bottom w:val="none" w:sz="0" w:space="0" w:color="auto"/>
        <w:right w:val="none" w:sz="0" w:space="0" w:color="auto"/>
      </w:divBdr>
    </w:div>
    <w:div w:id="711152968">
      <w:bodyDiv w:val="1"/>
      <w:marLeft w:val="0"/>
      <w:marRight w:val="0"/>
      <w:marTop w:val="0"/>
      <w:marBottom w:val="0"/>
      <w:divBdr>
        <w:top w:val="none" w:sz="0" w:space="0" w:color="auto"/>
        <w:left w:val="none" w:sz="0" w:space="0" w:color="auto"/>
        <w:bottom w:val="none" w:sz="0" w:space="0" w:color="auto"/>
        <w:right w:val="none" w:sz="0" w:space="0" w:color="auto"/>
      </w:divBdr>
    </w:div>
    <w:div w:id="844366994">
      <w:bodyDiv w:val="1"/>
      <w:marLeft w:val="0"/>
      <w:marRight w:val="0"/>
      <w:marTop w:val="0"/>
      <w:marBottom w:val="0"/>
      <w:divBdr>
        <w:top w:val="none" w:sz="0" w:space="0" w:color="auto"/>
        <w:left w:val="none" w:sz="0" w:space="0" w:color="auto"/>
        <w:bottom w:val="none" w:sz="0" w:space="0" w:color="auto"/>
        <w:right w:val="none" w:sz="0" w:space="0" w:color="auto"/>
      </w:divBdr>
    </w:div>
    <w:div w:id="948976386">
      <w:bodyDiv w:val="1"/>
      <w:marLeft w:val="0"/>
      <w:marRight w:val="0"/>
      <w:marTop w:val="0"/>
      <w:marBottom w:val="0"/>
      <w:divBdr>
        <w:top w:val="none" w:sz="0" w:space="0" w:color="auto"/>
        <w:left w:val="none" w:sz="0" w:space="0" w:color="auto"/>
        <w:bottom w:val="none" w:sz="0" w:space="0" w:color="auto"/>
        <w:right w:val="none" w:sz="0" w:space="0" w:color="auto"/>
      </w:divBdr>
    </w:div>
    <w:div w:id="1160578168">
      <w:bodyDiv w:val="1"/>
      <w:marLeft w:val="0"/>
      <w:marRight w:val="0"/>
      <w:marTop w:val="0"/>
      <w:marBottom w:val="0"/>
      <w:divBdr>
        <w:top w:val="none" w:sz="0" w:space="0" w:color="auto"/>
        <w:left w:val="none" w:sz="0" w:space="0" w:color="auto"/>
        <w:bottom w:val="none" w:sz="0" w:space="0" w:color="auto"/>
        <w:right w:val="none" w:sz="0" w:space="0" w:color="auto"/>
      </w:divBdr>
      <w:divsChild>
        <w:div w:id="1600672708">
          <w:marLeft w:val="0"/>
          <w:marRight w:val="0"/>
          <w:marTop w:val="0"/>
          <w:marBottom w:val="0"/>
          <w:divBdr>
            <w:top w:val="none" w:sz="0" w:space="0" w:color="auto"/>
            <w:left w:val="none" w:sz="0" w:space="0" w:color="auto"/>
            <w:bottom w:val="none" w:sz="0" w:space="0" w:color="auto"/>
            <w:right w:val="none" w:sz="0" w:space="0" w:color="auto"/>
          </w:divBdr>
        </w:div>
        <w:div w:id="1178352557">
          <w:marLeft w:val="0"/>
          <w:marRight w:val="0"/>
          <w:marTop w:val="0"/>
          <w:marBottom w:val="0"/>
          <w:divBdr>
            <w:top w:val="none" w:sz="0" w:space="0" w:color="auto"/>
            <w:left w:val="none" w:sz="0" w:space="0" w:color="auto"/>
            <w:bottom w:val="none" w:sz="0" w:space="0" w:color="auto"/>
            <w:right w:val="none" w:sz="0" w:space="0" w:color="auto"/>
          </w:divBdr>
        </w:div>
      </w:divsChild>
    </w:div>
    <w:div w:id="1388067899">
      <w:bodyDiv w:val="1"/>
      <w:marLeft w:val="0"/>
      <w:marRight w:val="0"/>
      <w:marTop w:val="0"/>
      <w:marBottom w:val="0"/>
      <w:divBdr>
        <w:top w:val="none" w:sz="0" w:space="0" w:color="auto"/>
        <w:left w:val="none" w:sz="0" w:space="0" w:color="auto"/>
        <w:bottom w:val="none" w:sz="0" w:space="0" w:color="auto"/>
        <w:right w:val="none" w:sz="0" w:space="0" w:color="auto"/>
      </w:divBdr>
    </w:div>
    <w:div w:id="1601257133">
      <w:bodyDiv w:val="1"/>
      <w:marLeft w:val="0"/>
      <w:marRight w:val="0"/>
      <w:marTop w:val="0"/>
      <w:marBottom w:val="0"/>
      <w:divBdr>
        <w:top w:val="none" w:sz="0" w:space="0" w:color="auto"/>
        <w:left w:val="none" w:sz="0" w:space="0" w:color="auto"/>
        <w:bottom w:val="none" w:sz="0" w:space="0" w:color="auto"/>
        <w:right w:val="none" w:sz="0" w:space="0" w:color="auto"/>
      </w:divBdr>
    </w:div>
    <w:div w:id="1759132420">
      <w:bodyDiv w:val="1"/>
      <w:marLeft w:val="0"/>
      <w:marRight w:val="0"/>
      <w:marTop w:val="0"/>
      <w:marBottom w:val="0"/>
      <w:divBdr>
        <w:top w:val="none" w:sz="0" w:space="0" w:color="auto"/>
        <w:left w:val="none" w:sz="0" w:space="0" w:color="auto"/>
        <w:bottom w:val="none" w:sz="0" w:space="0" w:color="auto"/>
        <w:right w:val="none" w:sz="0" w:space="0" w:color="auto"/>
      </w:divBdr>
    </w:div>
    <w:div w:id="2092726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jalisco.gob.mx/panoramas-culturales-una-exploracion-para-la-sostenibilidad-de-la-cultura-en-jalis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A9D67-3CC3-4341-B65E-BBF005A38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1191</Words>
  <Characters>6555</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Invitado</dc:creator>
  <cp:lastModifiedBy>Viridiana Álvarez</cp:lastModifiedBy>
  <cp:revision>19</cp:revision>
  <cp:lastPrinted>2025-03-13T17:59:00Z</cp:lastPrinted>
  <dcterms:created xsi:type="dcterms:W3CDTF">2025-03-13T17:45:00Z</dcterms:created>
  <dcterms:modified xsi:type="dcterms:W3CDTF">2026-04-29T18:42:00Z</dcterms:modified>
</cp:coreProperties>
</file>