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377D1" w14:textId="68376977" w:rsidR="000152EA" w:rsidRPr="000152EA" w:rsidRDefault="000152EA" w:rsidP="000152EA">
      <w:pPr>
        <w:pStyle w:val="NormalWeb"/>
        <w:spacing w:before="0" w:beforeAutospacing="0" w:after="0" w:afterAutospacing="0" w:line="360" w:lineRule="auto"/>
        <w:textAlignment w:val="baseline"/>
        <w:rPr>
          <w:rFonts w:ascii="Dosis" w:hAnsi="Dosis"/>
          <w:sz w:val="22"/>
          <w:szCs w:val="22"/>
        </w:rPr>
      </w:pPr>
      <w:r w:rsidRPr="000152EA">
        <w:rPr>
          <w:rFonts w:ascii="Arial" w:hAnsi="Arial" w:cs="Arial"/>
          <w:b/>
          <w:bCs/>
          <w:sz w:val="22"/>
          <w:szCs w:val="22"/>
          <w:bdr w:val="none" w:sz="0" w:space="0" w:color="auto" w:frame="1"/>
        </w:rPr>
        <w:t>Diagnóstico</w:t>
      </w:r>
    </w:p>
    <w:p w14:paraId="0F2841C1" w14:textId="6DB09497" w:rsidR="000152EA" w:rsidRPr="000152EA" w:rsidRDefault="000152EA" w:rsidP="000152EA">
      <w:pPr>
        <w:pStyle w:val="NormalWeb"/>
        <w:spacing w:before="0" w:beforeAutospacing="0" w:after="0" w:afterAutospacing="0" w:line="360" w:lineRule="auto"/>
        <w:textAlignment w:val="baseline"/>
        <w:rPr>
          <w:rFonts w:ascii="Dosis" w:hAnsi="Dosis"/>
          <w:sz w:val="22"/>
          <w:szCs w:val="22"/>
        </w:rPr>
      </w:pPr>
    </w:p>
    <w:p w14:paraId="166F3EC4" w14:textId="30D5D9EA" w:rsidR="000152EA" w:rsidRPr="000152EA" w:rsidRDefault="000152EA" w:rsidP="000152EA">
      <w:pPr>
        <w:pStyle w:val="NormalWeb"/>
        <w:spacing w:before="0" w:beforeAutospacing="0" w:after="0" w:afterAutospacing="0" w:line="360" w:lineRule="auto"/>
        <w:textAlignment w:val="baseline"/>
        <w:rPr>
          <w:rFonts w:ascii="Dosis" w:hAnsi="Dosis"/>
          <w:sz w:val="22"/>
          <w:szCs w:val="22"/>
        </w:rPr>
      </w:pPr>
      <w:r w:rsidRPr="000152EA">
        <w:rPr>
          <w:rFonts w:ascii="Arial" w:hAnsi="Arial" w:cs="Arial"/>
          <w:b/>
          <w:bCs/>
          <w:sz w:val="22"/>
          <w:szCs w:val="22"/>
          <w:bdr w:val="none" w:sz="0" w:space="0" w:color="auto" w:frame="1"/>
        </w:rPr>
        <w:t>Descripción del Problema Público</w:t>
      </w:r>
    </w:p>
    <w:p w14:paraId="44C79AC7"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r w:rsidRPr="000152EA">
        <w:rPr>
          <w:rFonts w:ascii="Arial" w:hAnsi="Arial" w:cs="Arial"/>
          <w:sz w:val="22"/>
          <w:szCs w:val="22"/>
          <w:bdr w:val="none" w:sz="0" w:space="0" w:color="auto" w:frame="1"/>
        </w:rPr>
        <w:t>Desde la normativa de derechos humanos aplicable en el Estado de Jalisco, la discapacidad debe entenderse de manera integral, reconociendo su exclusión histórica e institucionalizada de varios espacios de desarrollo social. Partiendo de la Clasificación Internacional del Funcionamiento (CIF) y de la Convención de las Naciones Unidas sobre los Derechos de las Personas con Discapacidad, se debe considerar a la discapacidad, entonces, desde una perspectiva social, donde las Personas con Discapacidad (PCD) son sujetos titulares y ejercitantes de derechos y obligaciones (CEDHJ, 2023).</w:t>
      </w:r>
    </w:p>
    <w:p w14:paraId="38899943" w14:textId="77777777"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sz w:val="22"/>
          <w:szCs w:val="22"/>
          <w:bdr w:val="none" w:sz="0" w:space="0" w:color="auto" w:frame="1"/>
        </w:rPr>
        <w:t>En el estado de Jalisco, las personas con discapacidad enfrentan una doble condición de vulnerabilidad: por un lado, debido a sus limitaciones físicas, sensoriales o intelectuales, y por otro, por la carencia de servicios públicos adecuados, accesibles y equitativos. Esta combinación genera un entorno sistemático de exclusión social, económica y cultural que limita el ejercicio pleno de sus derechos humanos.</w:t>
      </w:r>
    </w:p>
    <w:p w14:paraId="382B9C7B"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11C9786F"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r w:rsidRPr="000152EA">
        <w:rPr>
          <w:rFonts w:ascii="Arial" w:hAnsi="Arial" w:cs="Arial"/>
          <w:sz w:val="22"/>
          <w:szCs w:val="22"/>
          <w:bdr w:val="none" w:sz="0" w:space="0" w:color="auto" w:frame="1"/>
        </w:rPr>
        <w:t>De acuerdo con la CIF, la discapacidad representa “deficiencias a nivel de la estructura o las funciones corporales […] limitaciones de las actividades al nivel de la persona y restricciones en la participación al nivel de las situaciones vitales en un contexto social” (Comisión Interamericana de Derechos Humanos Informe Situación de los derechos humanos de las personas con discapacidad en las Américas 2025). De esta forma, se entiende que la discapacidad existe como el resultado de una interacción entre personas que tienen diferentes niveles de funcionamiento dentro de un entorno social que no toma en cuenta esas diferencias. Por lo tanto, las personas con impedimentos físicos, sensoriales, intelectuales o mentales se consideran con una discapacidad en un contexto social que los excluye de diversas actividades, así como del acceso efectivo a sus derechos a la educación, al trabajo, a la seguridad social y al resto de sus derechos sociales.</w:t>
      </w:r>
    </w:p>
    <w:p w14:paraId="791DECAC" w14:textId="0FF93AC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0C0D8516" w14:textId="77777777" w:rsidR="000152EA" w:rsidRDefault="000152EA" w:rsidP="000152EA">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sz w:val="22"/>
          <w:szCs w:val="22"/>
          <w:bdr w:val="none" w:sz="0" w:space="0" w:color="auto" w:frame="1"/>
        </w:rPr>
        <w:t xml:space="preserve">Ello implica que, alrededor de 386 mil 577 personas vivan con algún tipo de discapacidad, lo que representa el 4.7% de la población estatal; de la cual se identifican 206,562 mujeres con discapacidad (aproximadamente 2.5% de la población con discapacidad), mientras que 180,015 son hombres (aproximadamente el 2.2%). Estas cifras reflejan no solo la presencia significativa de esta población en el estado, sino también la necesidad urgente de políticas públicas específicas y sostenidas que garanticen sus derechos y eleven su calidad de vida. </w:t>
      </w:r>
      <w:r w:rsidRPr="000152EA">
        <w:rPr>
          <w:rFonts w:ascii="Arial" w:hAnsi="Arial" w:cs="Arial"/>
          <w:sz w:val="22"/>
          <w:szCs w:val="22"/>
          <w:bdr w:val="none" w:sz="0" w:space="0" w:color="auto" w:frame="1"/>
        </w:rPr>
        <w:lastRenderedPageBreak/>
        <w:t>Así mismo, el área Metropolitana de Guadalajara concentra la mayor cantidad nominal de personas con discapacidad debido a su densidad poblacional, específicamente en municipios como Guadalajara y Zapopan. No obstante, en estos entornos urbanos, la exclusión se manifiesta principalmente en la falta de accesibilidad en el transporte público y espacios laborales. Los municipios con las tasas de prevalencia más altas se localizan frecuentemente en regiones fuera del centro, como la Región Norte y la Región Sierra de Amula. En estas zonas, la discapacidad se vive con una doble vulnerabilidad: la limitación propia y la dispersión geográfica que dificulta el acceso a centros de rehabilitación especializados, que suelen estar centralizados en las cabeceras municipales o en el área metropolitana de Guadalajara (INEGI 2020).</w:t>
      </w:r>
    </w:p>
    <w:p w14:paraId="4ECE5EE5" w14:textId="77777777" w:rsidR="000152EA" w:rsidRPr="000152EA" w:rsidRDefault="000152EA" w:rsidP="000152EA">
      <w:pPr>
        <w:pStyle w:val="NormalWeb"/>
        <w:shd w:val="clear" w:color="auto" w:fill="FFFFFF"/>
        <w:spacing w:before="0" w:beforeAutospacing="0" w:after="0" w:afterAutospacing="0" w:line="360" w:lineRule="auto"/>
        <w:jc w:val="both"/>
        <w:textAlignment w:val="baseline"/>
        <w:rPr>
          <w:rFonts w:ascii="Dosis" w:hAnsi="Dosis"/>
          <w:sz w:val="22"/>
          <w:szCs w:val="22"/>
        </w:rPr>
      </w:pPr>
    </w:p>
    <w:p w14:paraId="7DB7678B" w14:textId="3CEFA4CC"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r w:rsidRPr="000152EA">
        <w:rPr>
          <w:rFonts w:ascii="Arial" w:hAnsi="Arial" w:cs="Arial"/>
          <w:b/>
          <w:bCs/>
          <w:sz w:val="22"/>
          <w:szCs w:val="22"/>
          <w:bdr w:val="none" w:sz="0" w:space="0" w:color="auto" w:frame="1"/>
        </w:rPr>
        <w:t>1.</w:t>
      </w:r>
      <w:r w:rsidRPr="000152EA">
        <w:rPr>
          <w:rStyle w:val="apple-tab-span"/>
          <w:rFonts w:ascii="Dosis" w:hAnsi="Dosis" w:cs="Arial"/>
          <w:b/>
          <w:bCs/>
          <w:sz w:val="22"/>
          <w:szCs w:val="22"/>
          <w:bdr w:val="none" w:sz="0" w:space="0" w:color="auto" w:frame="1"/>
        </w:rPr>
        <w:tab/>
      </w:r>
      <w:r w:rsidRPr="000152EA">
        <w:rPr>
          <w:rFonts w:ascii="Arial" w:hAnsi="Arial" w:cs="Arial"/>
          <w:b/>
          <w:bCs/>
          <w:sz w:val="22"/>
          <w:szCs w:val="22"/>
          <w:bdr w:val="none" w:sz="0" w:space="0" w:color="auto" w:frame="1"/>
        </w:rPr>
        <w:t xml:space="preserve">Acceso a los servicios de salud. </w:t>
      </w:r>
      <w:r w:rsidRPr="000152EA">
        <w:rPr>
          <w:rFonts w:ascii="Arial" w:hAnsi="Arial" w:cs="Arial"/>
          <w:sz w:val="22"/>
          <w:szCs w:val="22"/>
          <w:bdr w:val="none" w:sz="0" w:space="0" w:color="auto" w:frame="1"/>
        </w:rPr>
        <w:t>Según la Organización Mundial de la Salud (2023), las PCD sufren desigualdad, lo que ocasiona que tengan niveles de salud más precarios que el resto de la población.</w:t>
      </w:r>
    </w:p>
    <w:p w14:paraId="000C3570" w14:textId="77777777"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sz w:val="22"/>
          <w:szCs w:val="22"/>
          <w:bdr w:val="none" w:sz="0" w:space="0" w:color="auto" w:frame="1"/>
        </w:rPr>
        <w:t>La ENADIS (2022) estima que el 30.7% de la población de mayores de 12 años con Discapacidad, manifestó que se le negó injustificadamente algunos de sus derechos; de este, el 42.8% refirió la negación de la atención médica o medicamentos.</w:t>
      </w:r>
    </w:p>
    <w:p w14:paraId="4731FFCE"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6F6AB96A" w14:textId="5091F7A1"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b/>
          <w:bCs/>
          <w:sz w:val="22"/>
          <w:szCs w:val="22"/>
          <w:bdr w:val="none" w:sz="0" w:space="0" w:color="auto" w:frame="1"/>
        </w:rPr>
        <w:t>2.</w:t>
      </w:r>
      <w:r w:rsidRPr="000152EA">
        <w:rPr>
          <w:rStyle w:val="apple-tab-span"/>
          <w:rFonts w:ascii="Dosis" w:hAnsi="Dosis" w:cs="Arial"/>
          <w:b/>
          <w:bCs/>
          <w:sz w:val="22"/>
          <w:szCs w:val="22"/>
          <w:bdr w:val="none" w:sz="0" w:space="0" w:color="auto" w:frame="1"/>
        </w:rPr>
        <w:tab/>
      </w:r>
      <w:r w:rsidRPr="000152EA">
        <w:rPr>
          <w:rFonts w:ascii="Arial" w:hAnsi="Arial" w:cs="Arial"/>
          <w:b/>
          <w:bCs/>
          <w:sz w:val="22"/>
          <w:szCs w:val="22"/>
          <w:bdr w:val="none" w:sz="0" w:space="0" w:color="auto" w:frame="1"/>
        </w:rPr>
        <w:t xml:space="preserve">Falta y carencia en cuidados. </w:t>
      </w:r>
      <w:r w:rsidRPr="000152EA">
        <w:rPr>
          <w:rFonts w:ascii="Arial" w:hAnsi="Arial" w:cs="Arial"/>
          <w:sz w:val="22"/>
          <w:szCs w:val="22"/>
          <w:bdr w:val="none" w:sz="0" w:space="0" w:color="auto" w:frame="1"/>
        </w:rPr>
        <w:t>La OMS (2011), señala que muchas PCD requieren de asistencia y apoyo para participar en sociedad, así como de instituciones y esquemas que garanticen la autonomía plena y la capacidad de agencia de las PCD. A falta de estos servicios, las PCD tienden a depender de manera excesiva en los miembros de la familia, impidiendo en muchos casos que tanto ellas como los familiares sean económicamente activos y se integren a la sociedad. Está comprobado que la carga de atención genera estrés en los cuidadores y las familias, sobre todo en las mujeres, quienes suelen ser las encargadas de las labores domésticas; así también, el cuidado de las PCD suele provocar una pérdida de oportunidades económicas, ocasionando que la familia pierda dos ingresos (el de la persona con discapacidad y el de la persona que le asiste). Según la ENADIS, en México las PCD reciben los cuidados y atenciones necesarias de sus cónyuges (50%), de sus padres (16%), de sus hijos e hijas (12%), de sus hermanos y hermanas (10%) y el 8.2% no reciben cuidados de ninguna persona (CONAPRED y CONADIS, 2012).</w:t>
      </w:r>
    </w:p>
    <w:p w14:paraId="05A3A721"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6C580C65" w14:textId="694A25D4"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b/>
          <w:bCs/>
          <w:sz w:val="22"/>
          <w:szCs w:val="22"/>
          <w:bdr w:val="none" w:sz="0" w:space="0" w:color="auto" w:frame="1"/>
        </w:rPr>
        <w:t>3.</w:t>
      </w:r>
      <w:r w:rsidRPr="000152EA">
        <w:rPr>
          <w:rStyle w:val="apple-tab-span"/>
          <w:rFonts w:ascii="Dosis" w:hAnsi="Dosis" w:cs="Arial"/>
          <w:b/>
          <w:bCs/>
          <w:sz w:val="22"/>
          <w:szCs w:val="22"/>
          <w:bdr w:val="none" w:sz="0" w:space="0" w:color="auto" w:frame="1"/>
        </w:rPr>
        <w:tab/>
      </w:r>
      <w:r w:rsidRPr="000152EA">
        <w:rPr>
          <w:rFonts w:ascii="Arial" w:hAnsi="Arial" w:cs="Arial"/>
          <w:b/>
          <w:bCs/>
          <w:sz w:val="22"/>
          <w:szCs w:val="22"/>
          <w:bdr w:val="none" w:sz="0" w:space="0" w:color="auto" w:frame="1"/>
        </w:rPr>
        <w:t xml:space="preserve">Educación. </w:t>
      </w:r>
      <w:r w:rsidRPr="000152EA">
        <w:rPr>
          <w:rFonts w:ascii="Arial" w:hAnsi="Arial" w:cs="Arial"/>
          <w:sz w:val="22"/>
          <w:szCs w:val="22"/>
          <w:bdr w:val="none" w:sz="0" w:space="0" w:color="auto" w:frame="1"/>
        </w:rPr>
        <w:t xml:space="preserve">La trayectoria escolar de las niñas, niños y jóvenes con discapacidad está marcada por múltiples obstáculos que le impiden ejercer el derecho a la educación, </w:t>
      </w:r>
      <w:r w:rsidRPr="000152EA">
        <w:rPr>
          <w:rFonts w:ascii="Arial" w:hAnsi="Arial" w:cs="Arial"/>
          <w:sz w:val="22"/>
          <w:szCs w:val="22"/>
          <w:bdr w:val="none" w:sz="0" w:space="0" w:color="auto" w:frame="1"/>
        </w:rPr>
        <w:lastRenderedPageBreak/>
        <w:t>según la ONU los países latinoamericanos tiene un acceso limitado y sufren de desigualdades, “Su presencia es baja en las edades de preprimaria, con incremento gradual hasta los doce años, cuando alcanza un máximo de 33 estudiantes con discapacidad por cada mil. A partir de esa edad, la participación comienza a caer y, a los 17 años, la cifra desciende a 24 por cada mil” (ONU, 2025). Esta situación impide que las personas con discapacidad puedan desarrollarse integralmente en la sociedad. </w:t>
      </w:r>
    </w:p>
    <w:p w14:paraId="220520B1"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08E073F5" w14:textId="2C7D56D3"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b/>
          <w:bCs/>
          <w:sz w:val="22"/>
          <w:szCs w:val="22"/>
          <w:bdr w:val="none" w:sz="0" w:space="0" w:color="auto" w:frame="1"/>
        </w:rPr>
        <w:t>4.</w:t>
      </w:r>
      <w:r w:rsidRPr="000152EA">
        <w:rPr>
          <w:rStyle w:val="apple-tab-span"/>
          <w:rFonts w:ascii="Dosis" w:hAnsi="Dosis" w:cs="Arial"/>
          <w:b/>
          <w:bCs/>
          <w:sz w:val="22"/>
          <w:szCs w:val="22"/>
          <w:bdr w:val="none" w:sz="0" w:space="0" w:color="auto" w:frame="1"/>
        </w:rPr>
        <w:tab/>
      </w:r>
      <w:r w:rsidRPr="000152EA">
        <w:rPr>
          <w:rFonts w:ascii="Arial" w:hAnsi="Arial" w:cs="Arial"/>
          <w:b/>
          <w:bCs/>
          <w:sz w:val="22"/>
          <w:szCs w:val="22"/>
          <w:bdr w:val="none" w:sz="0" w:space="0" w:color="auto" w:frame="1"/>
        </w:rPr>
        <w:t xml:space="preserve">Acceso al mercado laboral. </w:t>
      </w:r>
      <w:r w:rsidRPr="000152EA">
        <w:rPr>
          <w:rFonts w:ascii="Arial" w:hAnsi="Arial" w:cs="Arial"/>
          <w:sz w:val="22"/>
          <w:szCs w:val="22"/>
          <w:bdr w:val="none" w:sz="0" w:space="0" w:color="auto" w:frame="1"/>
        </w:rPr>
        <w:t>Las personas con discapacidad presentan tasas de empleo más bajas, tienen mayor probabilidad de sufrir desventajas económicas y, por ello, es menos probable que puedan pagar un seguro médico privado. Según datos del INEGI, en 2023, 102 285 unidades económicas emplearon a personas con discapacidad. De estas,más de la mitad (51.3 %) pertenece al sector comercio. Los servicios representan alrededor de un tercio (34.7 %) y las manufacturas, 11.0 %. La discriminación hacia las personas con discapacidad se manifiesta en las barreras físicas, como calles sin rampas, y en las prácticas cotidianas como cuando las familias ocultan a integrantes con discapacidad intelectual o mental; cuando un docente no adecua su práctica pedagógica a las necesidades del estudiante con discapacidad; cuando los centros de trabajo no incluyen dentro de su personal a personas con discapacidad; o cuando los medios de comunicación no incorporan intérpretes de Lengua de Señas Mexicana o subtítulos en su programación. Los resultados de la ENADIS 2017 confirman que las desventajas socioeconómicas se agravan directamente con la acumulación de características personales vulnerables a la discriminación. Por ejemplo, tener una discapacidad, ser residente en localidades no urbanas y hablante de lengua indígena aumentó 16 puntos porcentuales la probabilidad de no saber leer ni escribir en comparación con la probabilidad si solo se presenta la condición de discapacidad (CONAPRED, 2018, p. 31).</w:t>
      </w:r>
    </w:p>
    <w:p w14:paraId="32DBAA05"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25CD3BD2" w14:textId="6151B589"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b/>
          <w:bCs/>
          <w:sz w:val="22"/>
          <w:szCs w:val="22"/>
          <w:bdr w:val="none" w:sz="0" w:space="0" w:color="auto" w:frame="1"/>
        </w:rPr>
        <w:t>5.</w:t>
      </w:r>
      <w:r w:rsidRPr="000152EA">
        <w:rPr>
          <w:rStyle w:val="apple-tab-span"/>
          <w:rFonts w:ascii="Dosis" w:hAnsi="Dosis" w:cs="Arial"/>
          <w:b/>
          <w:bCs/>
          <w:sz w:val="22"/>
          <w:szCs w:val="22"/>
          <w:bdr w:val="none" w:sz="0" w:space="0" w:color="auto" w:frame="1"/>
        </w:rPr>
        <w:tab/>
      </w:r>
      <w:r w:rsidRPr="000152EA">
        <w:rPr>
          <w:rFonts w:ascii="Arial" w:hAnsi="Arial" w:cs="Arial"/>
          <w:b/>
          <w:bCs/>
          <w:sz w:val="22"/>
          <w:szCs w:val="22"/>
          <w:bdr w:val="none" w:sz="0" w:space="0" w:color="auto" w:frame="1"/>
        </w:rPr>
        <w:t xml:space="preserve">Accesibilidad Universal. </w:t>
      </w:r>
      <w:r w:rsidRPr="000152EA">
        <w:rPr>
          <w:rFonts w:ascii="Arial" w:hAnsi="Arial" w:cs="Arial"/>
          <w:sz w:val="22"/>
          <w:szCs w:val="22"/>
          <w:bdr w:val="none" w:sz="0" w:space="0" w:color="auto" w:frame="1"/>
        </w:rPr>
        <w:t xml:space="preserve">La accesibilidad a los espacios públicos y a la información constituye un proceso clave para la inclusión de las PCD. Dependiendo de su conformación y sus dinámicas, los ambientes físicos, sociales y actitudinales generan discapacidad en las personas que poseen deficiencias o fomentan su participación e inclusión. Los ambientes accesibles son fundamentales para las PCD, además de que sirven para todas las personas (OMS, 2011). En Jalisco, la CEDHJ (2017) realizó un estudio sobre la accesibilidad de las distintas instituciones públicas. La mayoría de las dependencias públicas y ayuntamientos desconocen sus obligaciones hacia las PCD en cuanto a la Ley </w:t>
      </w:r>
      <w:r w:rsidRPr="000152EA">
        <w:rPr>
          <w:rFonts w:ascii="Arial" w:hAnsi="Arial" w:cs="Arial"/>
          <w:sz w:val="22"/>
          <w:szCs w:val="22"/>
          <w:bdr w:val="none" w:sz="0" w:space="0" w:color="auto" w:frame="1"/>
        </w:rPr>
        <w:lastRenderedPageBreak/>
        <w:t>de Inclusión y Desarrollo Integral de las PCD en el Estado de Jalisco, lo que conlleva a su incumplimiento y la falta de cultura a favor de la discapacidad. En las distintas instancias públicas de Jalisco, desde ayuntamientos hasta dependencias estatales, se encontró que no existe un trato especializado, hay conductas que generan discriminación, faltan condiciones de ingreso, traslado y estancia digna y no hay programas especializados ni personal capacitado para proporcionar atención a las PCD.</w:t>
      </w:r>
    </w:p>
    <w:p w14:paraId="31DFC76E"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4D7CBB82" w14:textId="77777777" w:rsidR="000152EA" w:rsidRDefault="000152EA" w:rsidP="000152EA">
      <w:pPr>
        <w:pStyle w:val="NormalWeb"/>
        <w:spacing w:before="0" w:beforeAutospacing="0" w:after="0" w:afterAutospacing="0" w:line="360" w:lineRule="auto"/>
        <w:jc w:val="both"/>
        <w:textAlignment w:val="baseline"/>
        <w:rPr>
          <w:rFonts w:ascii="Arial" w:hAnsi="Arial" w:cs="Arial"/>
          <w:sz w:val="22"/>
          <w:szCs w:val="22"/>
          <w:bdr w:val="none" w:sz="0" w:space="0" w:color="auto" w:frame="1"/>
        </w:rPr>
      </w:pPr>
      <w:r w:rsidRPr="000152EA">
        <w:rPr>
          <w:rFonts w:ascii="Arial" w:hAnsi="Arial" w:cs="Arial"/>
          <w:sz w:val="22"/>
          <w:szCs w:val="22"/>
          <w:bdr w:val="none" w:sz="0" w:space="0" w:color="auto" w:frame="1"/>
        </w:rPr>
        <w:t>Tomando en consideración lo anterior, en la concepción del presente Programa, se argumenta que las OSC´s que trabajan por la inclusión y el desarrollo de las Personas con Discapacidad y sus familias en el Estado de Jalisco, han sido importantes aliadas para fortalecer la agenda de derechos humanos de esta población, sin embargo, encuentran distintas problemáticas para la implementación de sus proyectos y servicios. Por un lado, se enfrentan al paradigma histórico predominante, en el que la discapacidad es entendida solamente en términos de la asistencia social, hecho que soslaya toda posibilidad de desarrollo en otras áreas como la salud, la educación, la participación ciudadana, la atención de la niñez y la adolescencia con discapacidad, la perspectiva de género, la accesibilidad universal, el acceso a la justicia, el empleo y emprendimiento, entre muchas otras. Esto tiene relevancia ya que se calcula que de las  OSC´s de Jalisco contabilizadas, sólo 153 están dedicadas a la atención de PCD. Esto repercute invariablemente en la posibilidad de atención que puede darse a esta población.</w:t>
      </w:r>
    </w:p>
    <w:p w14:paraId="2685B05B"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27B84444" w14:textId="77777777" w:rsidR="000152EA" w:rsidRDefault="000152EA">
      <w:pPr>
        <w:rPr>
          <w:rFonts w:ascii="Arial" w:eastAsia="Times New Roman" w:hAnsi="Arial" w:cs="Arial"/>
          <w:b/>
          <w:bCs/>
          <w:kern w:val="0"/>
          <w:sz w:val="22"/>
          <w:szCs w:val="22"/>
          <w:bdr w:val="none" w:sz="0" w:space="0" w:color="auto" w:frame="1"/>
          <w:lang w:eastAsia="es-MX"/>
          <w14:ligatures w14:val="none"/>
        </w:rPr>
      </w:pPr>
      <w:r>
        <w:rPr>
          <w:rFonts w:ascii="Arial" w:hAnsi="Arial" w:cs="Arial"/>
          <w:b/>
          <w:bCs/>
          <w:sz w:val="22"/>
          <w:szCs w:val="22"/>
          <w:bdr w:val="none" w:sz="0" w:space="0" w:color="auto" w:frame="1"/>
        </w:rPr>
        <w:br w:type="page"/>
      </w:r>
    </w:p>
    <w:p w14:paraId="13564A0A" w14:textId="51E05F63" w:rsidR="000152EA" w:rsidRDefault="000152EA" w:rsidP="000152EA">
      <w:pPr>
        <w:pStyle w:val="NormalWeb"/>
        <w:spacing w:before="0" w:beforeAutospacing="0" w:after="0" w:afterAutospacing="0" w:line="360" w:lineRule="auto"/>
        <w:jc w:val="both"/>
        <w:textAlignment w:val="baseline"/>
        <w:rPr>
          <w:rFonts w:ascii="Arial" w:hAnsi="Arial" w:cs="Arial"/>
          <w:b/>
          <w:bCs/>
          <w:sz w:val="22"/>
          <w:szCs w:val="22"/>
          <w:bdr w:val="none" w:sz="0" w:space="0" w:color="auto" w:frame="1"/>
        </w:rPr>
      </w:pPr>
      <w:r w:rsidRPr="000152EA">
        <w:rPr>
          <w:rFonts w:ascii="Arial" w:hAnsi="Arial" w:cs="Arial"/>
          <w:b/>
          <w:bCs/>
          <w:sz w:val="22"/>
          <w:szCs w:val="22"/>
          <w:bdr w:val="none" w:sz="0" w:space="0" w:color="auto" w:frame="1"/>
        </w:rPr>
        <w:lastRenderedPageBreak/>
        <w:t>Árbol de problemas</w:t>
      </w:r>
    </w:p>
    <w:p w14:paraId="4EBEE724" w14:textId="77777777" w:rsidR="000152EA" w:rsidRPr="000152EA" w:rsidRDefault="000152EA" w:rsidP="000152EA">
      <w:pPr>
        <w:pStyle w:val="NormalWeb"/>
        <w:spacing w:before="0" w:beforeAutospacing="0" w:after="0" w:afterAutospacing="0" w:line="360" w:lineRule="auto"/>
        <w:jc w:val="both"/>
        <w:textAlignment w:val="baseline"/>
        <w:rPr>
          <w:rFonts w:ascii="Dosis" w:hAnsi="Dosis"/>
          <w:sz w:val="22"/>
          <w:szCs w:val="22"/>
        </w:rPr>
      </w:pPr>
    </w:p>
    <w:p w14:paraId="3CDA3022" w14:textId="7F818BD4" w:rsidR="00BF191B" w:rsidRDefault="000152EA">
      <w:r w:rsidRPr="000152EA">
        <w:rPr>
          <w:rFonts w:ascii="Dosis" w:hAnsi="Dosis"/>
          <w:noProof/>
          <w:sz w:val="22"/>
          <w:szCs w:val="22"/>
        </w:rPr>
        <w:drawing>
          <wp:inline distT="0" distB="0" distL="0" distR="0" wp14:anchorId="27DE4EB6" wp14:editId="167E57FD">
            <wp:extent cx="5399405" cy="3102610"/>
            <wp:effectExtent l="0" t="0" r="0" b="0"/>
            <wp:docPr id="100654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99405" cy="3102610"/>
                    </a:xfrm>
                    <a:prstGeom prst="rect">
                      <a:avLst/>
                    </a:prstGeom>
                    <a:noFill/>
                    <a:ln>
                      <a:noFill/>
                    </a:ln>
                  </pic:spPr>
                </pic:pic>
              </a:graphicData>
            </a:graphic>
          </wp:inline>
        </w:drawing>
      </w:r>
    </w:p>
    <w:sectPr w:rsidR="00BF19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osis">
    <w:panose1 w:val="00000000000000000000"/>
    <w:charset w:val="4D"/>
    <w:family w:val="auto"/>
    <w:pitch w:val="variable"/>
    <w:sig w:usb0="A00000BF" w:usb1="4000207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2EA"/>
    <w:rsid w:val="000152EA"/>
    <w:rsid w:val="00191E8A"/>
    <w:rsid w:val="00837C2B"/>
    <w:rsid w:val="00866759"/>
    <w:rsid w:val="009274D2"/>
    <w:rsid w:val="00AA68A1"/>
    <w:rsid w:val="00AD7664"/>
    <w:rsid w:val="00BF191B"/>
    <w:rsid w:val="00FF12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67C3A9A2"/>
  <w15:chartTrackingRefBased/>
  <w15:docId w15:val="{867784C9-A59E-7C42-973D-5A23199C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152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152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152E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152E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152E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152E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152E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152E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152E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152E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152E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152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152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152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152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152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152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152EA"/>
    <w:rPr>
      <w:rFonts w:eastAsiaTheme="majorEastAsia" w:cstheme="majorBidi"/>
      <w:color w:val="272727" w:themeColor="text1" w:themeTint="D8"/>
    </w:rPr>
  </w:style>
  <w:style w:type="paragraph" w:styleId="Ttulo">
    <w:name w:val="Title"/>
    <w:basedOn w:val="Normal"/>
    <w:next w:val="Normal"/>
    <w:link w:val="TtuloCar"/>
    <w:uiPriority w:val="10"/>
    <w:qFormat/>
    <w:rsid w:val="000152E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152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152EA"/>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152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152E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152EA"/>
    <w:rPr>
      <w:i/>
      <w:iCs/>
      <w:color w:val="404040" w:themeColor="text1" w:themeTint="BF"/>
    </w:rPr>
  </w:style>
  <w:style w:type="paragraph" w:styleId="Prrafodelista">
    <w:name w:val="List Paragraph"/>
    <w:basedOn w:val="Normal"/>
    <w:uiPriority w:val="34"/>
    <w:qFormat/>
    <w:rsid w:val="000152EA"/>
    <w:pPr>
      <w:ind w:left="720"/>
      <w:contextualSpacing/>
    </w:pPr>
  </w:style>
  <w:style w:type="character" w:styleId="nfasisintenso">
    <w:name w:val="Intense Emphasis"/>
    <w:basedOn w:val="Fuentedeprrafopredeter"/>
    <w:uiPriority w:val="21"/>
    <w:qFormat/>
    <w:rsid w:val="000152EA"/>
    <w:rPr>
      <w:i/>
      <w:iCs/>
      <w:color w:val="0F4761" w:themeColor="accent1" w:themeShade="BF"/>
    </w:rPr>
  </w:style>
  <w:style w:type="paragraph" w:styleId="Citadestacada">
    <w:name w:val="Intense Quote"/>
    <w:basedOn w:val="Normal"/>
    <w:next w:val="Normal"/>
    <w:link w:val="CitadestacadaCar"/>
    <w:uiPriority w:val="30"/>
    <w:qFormat/>
    <w:rsid w:val="000152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152EA"/>
    <w:rPr>
      <w:i/>
      <w:iCs/>
      <w:color w:val="0F4761" w:themeColor="accent1" w:themeShade="BF"/>
    </w:rPr>
  </w:style>
  <w:style w:type="character" w:styleId="Referenciaintensa">
    <w:name w:val="Intense Reference"/>
    <w:basedOn w:val="Fuentedeprrafopredeter"/>
    <w:uiPriority w:val="32"/>
    <w:qFormat/>
    <w:rsid w:val="000152EA"/>
    <w:rPr>
      <w:b/>
      <w:bCs/>
      <w:smallCaps/>
      <w:color w:val="0F4761" w:themeColor="accent1" w:themeShade="BF"/>
      <w:spacing w:val="5"/>
    </w:rPr>
  </w:style>
  <w:style w:type="paragraph" w:styleId="NormalWeb">
    <w:name w:val="Normal (Web)"/>
    <w:basedOn w:val="Normal"/>
    <w:uiPriority w:val="99"/>
    <w:semiHidden/>
    <w:unhideWhenUsed/>
    <w:rsid w:val="000152EA"/>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apple-tab-span">
    <w:name w:val="apple-tab-span"/>
    <w:basedOn w:val="Fuentedeprrafopredeter"/>
    <w:rsid w:val="00015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1460</Words>
  <Characters>7960</Characters>
  <Application>Microsoft Office Word</Application>
  <DocSecurity>0</DocSecurity>
  <Lines>97</Lines>
  <Paragraphs>16</Paragraphs>
  <ScaleCrop>false</ScaleCrop>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vazquez</dc:creator>
  <cp:keywords/>
  <dc:description/>
  <cp:lastModifiedBy>margarita vazquez</cp:lastModifiedBy>
  <cp:revision>1</cp:revision>
  <dcterms:created xsi:type="dcterms:W3CDTF">2026-05-11T20:55:00Z</dcterms:created>
  <dcterms:modified xsi:type="dcterms:W3CDTF">2026-05-11T20:59:00Z</dcterms:modified>
</cp:coreProperties>
</file>