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d5dce4" w:space="1" w:sz="4" w:val="single"/>
          <w:left w:color="d5dce4" w:space="0" w:sz="4" w:val="single"/>
          <w:bottom w:color="d5dce4" w:space="1" w:sz="4" w:val="single"/>
          <w:right w:color="d5dce4" w:space="4" w:sz="4" w:val="single"/>
          <w:between w:color="d5dce4" w:space="1" w:sz="4" w:val="single"/>
        </w:pBdr>
        <w:shd w:fill="8296a9" w:val="clear"/>
        <w:spacing w:after="0" w:line="360" w:lineRule="auto"/>
        <w:jc w:val="center"/>
        <w:rPr>
          <w:rFonts w:ascii="Arial" w:cs="Arial" w:eastAsia="Arial" w:hAnsi="Arial"/>
          <w:b w:val="1"/>
          <w:bCs w:val="1"/>
          <w:color w:val="8296a9"/>
          <w:sz w:val="24"/>
          <w:szCs w:val="24"/>
        </w:rPr>
      </w:pPr>
      <w:r w:rsidDel="00000000" w:rsidR="00000000" w:rsidRPr="00000000">
        <w:rPr>
          <w:rFonts w:ascii="Arial" w:cs="Arial" w:eastAsia="Arial" w:hAnsi="Arial"/>
          <w:b w:val="1"/>
          <w:bCs w:val="1"/>
          <w:color w:val="ffffff"/>
          <w:sz w:val="24"/>
          <w:szCs w:val="24"/>
          <w:rtl w:val="0"/>
        </w:rPr>
        <w:t xml:space="preserve">DIAGNÓSTICO INICIAL</w:t>
      </w:r>
      <w:r w:rsidDel="00000000" w:rsidR="00000000" w:rsidRPr="00000000">
        <w:rPr>
          <w:rFonts w:ascii="Arial" w:cs="Arial" w:eastAsia="Arial" w:hAnsi="Arial"/>
          <w:b w:val="1"/>
          <w:bCs w:val="1"/>
          <w:color w:val="8296a9"/>
          <w:sz w:val="24"/>
          <w:szCs w:val="24"/>
          <w:rtl w:val="0"/>
        </w:rPr>
        <w:t xml:space="preserve">:</w:t>
      </w:r>
    </w:p>
    <w:p w:rsidR="00000000" w:rsidDel="00000000" w:rsidP="00000000" w:rsidRDefault="00000000" w:rsidRPr="00000000" w14:paraId="00000002">
      <w:pPr>
        <w:keepNext w:val="0"/>
        <w:keepLines w:val="0"/>
        <w:pageBreakBefore w:val="0"/>
        <w:widowControl w:val="1"/>
        <w:pBdr>
          <w:top w:color="d5dce4" w:space="1" w:sz="4" w:val="single"/>
          <w:left w:color="d5dce4" w:space="4" w:sz="4" w:val="single"/>
          <w:bottom w:color="d5dce4" w:space="1" w:sz="4" w:val="single"/>
          <w:right w:color="d5dce4" w:space="4" w:sz="4" w:val="single"/>
          <w:between w:color="d5dce4" w:space="1" w:sz="4" w:val="single"/>
        </w:pBdr>
        <w:shd w:fill="auto" w:val="clear"/>
        <w:tabs>
          <w:tab w:val="center" w:leader="none" w:pos="4419"/>
          <w:tab w:val="right" w:leader="none" w:pos="8838"/>
        </w:tabs>
        <w:spacing w:after="0" w:before="0" w:line="276" w:lineRule="auto"/>
        <w:ind w:left="0" w:right="0" w:firstLine="0"/>
        <w:jc w:val="both"/>
        <w:rPr>
          <w:rFonts w:ascii="Arial" w:cs="Arial" w:eastAsia="Arial" w:hAnsi="Arial"/>
          <w:b w:val="1"/>
          <w:bCs w:val="1"/>
          <w:i w:val="0"/>
          <w:iCs w:val="0"/>
          <w:smallCaps w:val="0"/>
          <w:strike w:val="0"/>
          <w:color w:val="8296a9"/>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8296a9"/>
          <w:sz w:val="24"/>
          <w:szCs w:val="24"/>
          <w:u w:val="none"/>
          <w:shd w:fill="auto" w:val="clear"/>
          <w:vertAlign w:val="baseline"/>
          <w:rtl w:val="0"/>
        </w:rPr>
        <w:t xml:space="preserve">Nombre de la dependencia</w:t>
      </w:r>
      <w:r w:rsidDel="00000000" w:rsidR="00000000" w:rsidRPr="00000000">
        <w:rPr>
          <w:rFonts w:ascii="Arial" w:cs="Arial" w:eastAsia="Arial" w:hAnsi="Arial"/>
          <w:b w:val="1"/>
          <w:bCs w:val="1"/>
          <w:color w:val="8296a9"/>
          <w:sz w:val="24"/>
          <w:szCs w:val="24"/>
          <w:rtl w:val="0"/>
        </w:rPr>
        <w:t xml:space="preserve"> : Secretaría de Agricultura y Desarrollo Rural</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color="d5dce4" w:space="1" w:sz="4" w:val="single"/>
          <w:left w:color="d5dce4" w:space="4" w:sz="4" w:val="single"/>
          <w:bottom w:color="d5dce4" w:space="1" w:sz="4" w:val="single"/>
          <w:right w:color="d5dce4" w:space="4" w:sz="4" w:val="single"/>
          <w:between w:color="d5dce4" w:space="1" w:sz="4" w:val="single"/>
        </w:pBdr>
        <w:shd w:fill="auto" w:val="clear"/>
        <w:tabs>
          <w:tab w:val="center" w:leader="none" w:pos="4419"/>
          <w:tab w:val="right" w:leader="none" w:pos="8838"/>
        </w:tabs>
        <w:spacing w:after="0" w:before="0" w:line="276" w:lineRule="auto"/>
        <w:ind w:left="0" w:right="0" w:firstLine="0"/>
        <w:jc w:val="both"/>
        <w:rPr>
          <w:rFonts w:ascii="Arial" w:cs="Arial" w:eastAsia="Arial" w:hAnsi="Arial"/>
          <w:b w:val="1"/>
          <w:bCs w:val="1"/>
          <w:i w:val="0"/>
          <w:iCs w:val="0"/>
          <w:smallCaps w:val="0"/>
          <w:strike w:val="0"/>
          <w:color w:val="8296a9"/>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8296a9"/>
          <w:sz w:val="24"/>
          <w:szCs w:val="24"/>
          <w:u w:val="none"/>
          <w:shd w:fill="auto" w:val="clear"/>
          <w:vertAlign w:val="baseline"/>
          <w:rtl w:val="0"/>
        </w:rPr>
        <w:t xml:space="preserve">Nombre del programa: </w:t>
      </w:r>
      <w:r w:rsidDel="00000000" w:rsidR="00000000" w:rsidRPr="00000000">
        <w:rPr>
          <w:rFonts w:ascii="Arial" w:cs="Arial" w:eastAsia="Arial" w:hAnsi="Arial"/>
          <w:b w:val="1"/>
          <w:bCs w:val="1"/>
          <w:color w:val="8296a9"/>
          <w:sz w:val="24"/>
          <w:szCs w:val="24"/>
          <w:rtl w:val="0"/>
        </w:rPr>
        <w:t xml:space="preserve">Proyectos Estratégicos Agroalimentarios.</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120" w:before="240" w:line="276" w:lineRule="auto"/>
        <w:ind w:left="0" w:right="0" w:firstLine="0"/>
        <w:jc w:val="both"/>
        <w:rPr>
          <w:rFonts w:ascii="Arial" w:cs="Arial" w:eastAsia="Arial" w:hAnsi="Arial"/>
          <w:b w:val="1"/>
          <w:bCs w:val="1"/>
          <w:i w:val="0"/>
          <w:iCs w:val="0"/>
          <w:smallCaps w:val="0"/>
          <w:strike w:val="0"/>
          <w:color w:val="ed7d31"/>
          <w:sz w:val="10"/>
          <w:szCs w:val="10"/>
          <w:u w:val="none"/>
          <w:shd w:fill="auto" w:val="clear"/>
          <w:vertAlign w:val="baseline"/>
        </w:rPr>
      </w:pPr>
      <w:bookmarkStart w:colFirst="0" w:colLast="0" w:name="_5bg7ehw9nun1" w:id="0"/>
      <w:bookmarkEnd w:id="0"/>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120" w:before="240" w:line="276" w:lineRule="auto"/>
        <w:ind w:left="0" w:right="0" w:firstLine="0"/>
        <w:jc w:val="both"/>
        <w:rPr>
          <w:rFonts w:ascii="Arial" w:cs="Arial" w:eastAsia="Arial" w:hAnsi="Arial"/>
          <w:sz w:val="26"/>
          <w:szCs w:val="26"/>
        </w:rPr>
      </w:pPr>
      <w:r w:rsidDel="00000000" w:rsidR="00000000" w:rsidRPr="00000000">
        <w:rPr>
          <w:rFonts w:ascii="Arial" w:cs="Arial" w:eastAsia="Arial" w:hAnsi="Arial"/>
          <w:b w:val="1"/>
          <w:bCs w:val="1"/>
          <w:i w:val="0"/>
          <w:iCs w:val="0"/>
          <w:smallCaps w:val="0"/>
          <w:strike w:val="0"/>
          <w:color w:val="ed7d31"/>
          <w:sz w:val="26"/>
          <w:szCs w:val="26"/>
          <w:u w:val="none"/>
          <w:shd w:fill="auto" w:val="clear"/>
          <w:vertAlign w:val="baseline"/>
          <w:rtl w:val="0"/>
        </w:rPr>
        <w:t xml:space="preserve">DIAGNÓSTICO:</w:t>
      </w:r>
      <w:r w:rsidDel="00000000" w:rsidR="00000000" w:rsidRPr="00000000">
        <w:rPr>
          <w:rtl w:val="0"/>
        </w:rPr>
      </w:r>
    </w:p>
    <w:p w:rsidR="00000000" w:rsidDel="00000000" w:rsidP="00000000" w:rsidRDefault="00000000" w:rsidRPr="00000000" w14:paraId="00000006">
      <w:pPr>
        <w:numPr>
          <w:ilvl w:val="0"/>
          <w:numId w:val="1"/>
        </w:numPr>
        <w:tabs>
          <w:tab w:val="center" w:leader="none" w:pos="4419"/>
          <w:tab w:val="right" w:leader="none" w:pos="8838"/>
          <w:tab w:val="left" w:leader="none" w:pos="1134"/>
        </w:tabs>
        <w:spacing w:after="240" w:before="240" w:line="240" w:lineRule="auto"/>
        <w:ind w:left="714" w:hanging="357"/>
        <w:jc w:val="both"/>
        <w:rPr>
          <w:rFonts w:ascii="Arial" w:cs="Arial" w:eastAsia="Arial" w:hAnsi="Arial"/>
          <w:b w:val="0"/>
          <w:bCs w:val="0"/>
          <w:sz w:val="26"/>
          <w:szCs w:val="26"/>
        </w:rPr>
      </w:pPr>
      <w:r w:rsidDel="00000000" w:rsidR="00000000" w:rsidRPr="00000000">
        <w:rPr>
          <w:rFonts w:ascii="Arial" w:cs="Arial" w:eastAsia="Arial" w:hAnsi="Arial"/>
          <w:sz w:val="26"/>
          <w:szCs w:val="26"/>
          <w:rtl w:val="0"/>
        </w:rPr>
        <w:t xml:space="preserve">Descripción del problema público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El problema público radica que alrededor del 97% de personas físicas y morales con establecimientos dedicados a las actividades agropecuarias, acuícolas y pesqueros en los municipios del Estado de Jalisco presentan brechas de productividad y rezago en la integración a cadenas de valor globales lo que impiden el desarrollo económico, productivo, tecnológico y sostenible en el sector agropecuario y agroindustrial.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De las 179,732 unidades de producción identificadas en el Censo Agropecuario 2022 en Jalisco, se estima que solo un 3% cuenta con el nivel de tecnificación y certificaciones necesarias para competir plenamente en mercados globales de manera autónoma. El 97% restante (174,340 unidades) conforma la población objetivo (Personas morales y/o municipios con enfoque en las actividades agropecuarias, acuícolas y pesqueras (Unidades de producción) del Estado de Jalisco.) que padece rezago productivo, caracterizado por una baja adopción tecnológica y una desconexión de los nodos logísticos internacionales, lo que justifica la intervención pública para cerrar dichas brechas.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De acuerdo con el Censo Agropecuario 2022, la distribución del problema se puede agrupar en las siguientes zonas críticas: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Región Altos (Norte y Sur):  Aunque son líderes, existe una pulverización de la producción. Miles de pequeños productores enfrentan altos costos de insumos y falta de infraestructura de acopio propia, lo que los mantiene en el 97% con brechas de valor agregado.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Región Sur y Sureste: Coexisten grandes empresas de berries y aguacate (el 3% integrado) con una mayoría de productores de granos básicos que no tienen acceso a riego tecnificado ni certificaciones de inocuidad.</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Región Valles y Lagunas: El rezago se manifiesta en la dependencia de intermediarios y la falta de maquinaria moderna. La mayoría de las unidades son de temporal, lo que limita su productividad frente a las fluctuaciones climáticas.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Región Costa y Sierra Occidental: Presenta las brechas más profundas en términos de logística y conectividad tecnológica. Municipios como Tomatlán y Villa Purificación tienen grandes extensiones con potencial, pero el rezago en infraestructura tecnológica es crítico.</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Durante las últimas dos décadas, se han identificado varias tendencias históricas que muestran la magnitud del problema:</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Disminución del dinamismo productivo: Según datos del INEGI y la Secretaría de Agricultura, desde principios de los años 2000 se ha observado una baja en la tasa de crecimiento del Producto Interno Bruto (PIB) agropecuario en Jalisco, pasando de crecimientos anuales superiores al 4% (2019) a apenas 1.2% (2024) en los últimos años. Esto refleja una pérdida de competitividad frente a otros estados más tecnificados.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2. Fragmentación y desorganización de los productores: Históricamente, más del 75% de los productores del sector agropecuario y pesquero en Jalisco trabajan de manera individual, sin integrarse en cadenas productivas o cooperativas, lo que limita su acceso a financiamiento, tecnología y mercados. Esta tendencia ha persistido pese a los intentos de programas de fomento.</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En 2020, Jalisco aportó el 12.21% del PIB nacional de actividades primarias, consolidándose como el líder nacional, aunque enfrentando retos de competitividad por la falta de tecnificación en la gran mayoría de sus unidades de producción.</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Escasa inversión en infraestructura: Desde hace más de 15 años, los niveles de inversión pública y privada en infraestructura de almacenamiento, procesamiento y distribución en el sector agroalimentario han sido insuficientes. Como resultado, el estado registra pérdidas pos-cosecha y de productos pesqueros superiores al 30%(Censo Agropecuario 2022), lo cual representa un desperdicio económico y ambiental considerable.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 Débil inserción en mercados internacionales: Aunque Jalisco es un productor relevante a nivel nacional, su participación en mercados de exportación ha sido marginal. La falta de certificaciones, estándares de calidad e innovación ha sido una constante limitante desde los años 90, reduciendo la capacidad de competir globalmente.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Las externalidades negativas derivadas de este problema público afectan directamente los estándares de calidad requeridos para satisfacer las diferentes demandas del mercado; impiden el crecimiento y desarrollo del sector, obstaculizando el crecimiento agroalimentario y el equilibrio ambiental.</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Desde una perspectiva de género el acceso a la tierra en Jalisco ha sido masculino, aunque las mujeres representan una parte vital de la fuerza laboral en el campo, muchas operan como "ayuda familiar" sin pago o en tierras que no están a su nombre, al no tener títulos de propiedad, las productoras jaliscienses quedan excluidas automáticamente de créditos bancarios y programas de apoyo gubernamental que exigen la escritura o el certificado parcelario como garantía, pero hoy en día el panorama ha cambiado, debido a que las mujeres han estado a cargo del cuidado de sus adultos mayores quienes por gratitud y equidad empiezan a delegar sus tierras a sus hijas o esposas, dando oportunidad a la participación de la misma. Una productora en Jalisco no solo se encarga de la siembra o la cosecha; también asume el 100% de las labores domésticas y el cuidado de menores o adultos mayores. La perspectiva de género no se trata solo de "equidad social", sino de eficiencia económica. En Jalisco, la innovación ha sido históricamente "ciega al género", lo que ha generado que las soluciones tecnológicas hoy en día se adapten a la realidad de las productoras, ampliando el techo de crecimiento del estado. Las mujeres en los municipios de Jalisco suelen liderar micro y pequeñas empresas (procesamiento de lácteos, conservas, confitería), la falta de innovación las mantiene en la informalidad artesanal.</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20" w:right="0" w:hanging="360"/>
        <w:jc w:val="both"/>
        <w:rPr>
          <w:rFonts w:ascii="Arial" w:cs="Arial" w:eastAsia="Arial" w:hAnsi="Arial"/>
          <w:sz w:val="26"/>
          <w:szCs w:val="26"/>
          <w:u w:val="none"/>
        </w:rPr>
      </w:pPr>
      <w:r w:rsidDel="00000000" w:rsidR="00000000" w:rsidRPr="00000000">
        <w:rPr>
          <w:rFonts w:ascii="Arial" w:cs="Arial" w:eastAsia="Arial" w:hAnsi="Arial"/>
          <w:sz w:val="26"/>
          <w:szCs w:val="26"/>
          <w:rtl w:val="0"/>
        </w:rPr>
        <w:t xml:space="preserve">Descripción de las causas del problema público</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Entre las principales causas de esta problemática está:</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a) El acceso limitado a la capacitación especializada, debido a la desorganización de productores y el escaso personal especializado, esto no permite que el productor innove y se adapte a las demandas del mercado nacional e internacional;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 La escasa comercialización y los deficientes canales para la venta de productos, la capacidad de producción insuficiente y la falta de estrategias para el fomento al consumo de productos agropecuarios y agroindustriales,  limitan el alcance a mercados mejor pagados;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 La infraestructura y equipamiento obsoletos dificultan la eficiencia en la producción y el procesamiento de productos, generada por insuficiencia de recurso económico;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 El cambio en los patrones climáticos: afectan la producción agrícola, ganadera, acuícola y pesquera,  el uso de prácticas no sostenibles y el consumo excesivo de los recursos naturales ocasionan que el clima sea cada vez más extremo.</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e) Suelos pobres que afectan la productividad agropecuaria; el uso excesivo de insumo que afectan la estabilidad del suelo y un mal manejo del mismo nos dan como resultado suelos degradados, intoxicados y compactados que dificultan su productividad</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20" w:right="0" w:hanging="360"/>
        <w:jc w:val="both"/>
        <w:rPr>
          <w:rFonts w:ascii="Arial" w:cs="Arial" w:eastAsia="Arial" w:hAnsi="Arial"/>
          <w:sz w:val="26"/>
          <w:szCs w:val="26"/>
          <w:u w:val="none"/>
        </w:rPr>
      </w:pPr>
      <w:r w:rsidDel="00000000" w:rsidR="00000000" w:rsidRPr="00000000">
        <w:rPr>
          <w:rFonts w:ascii="Arial" w:cs="Arial" w:eastAsia="Arial" w:hAnsi="Arial"/>
          <w:sz w:val="26"/>
          <w:szCs w:val="26"/>
          <w:rtl w:val="0"/>
        </w:rPr>
        <w:t xml:space="preserve">Descripción de los efectos del problema público</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Los efectos de esta problemática:</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a) Impactan directamente en la disminución de la producción e ingresos económicos, haciendo que el sector se vuelve poco rentable, con menor competitividad en el mercado y provocando la inseguridad alimentaria;</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 Ineficiente comercialización que genera pérdidas en las ventas, dificultando el ingreso a nuevos mercados.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 Deficiencias en la infraestructura y equipamiento para el valor agregado, se genera una menor innovación tecnológica, poca mejora continua en el valor agregado y menor inversión en el sector.</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 Más vulnerable a los efectos del cambio climático, teniendo pérdidas de cultivos y especies, originando la escasez de los recursos naturales por el uso de prácticas poco sostenibles y sustentables, que provoca incertidumbre y pérdidas económicas en el sector.</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1134"/>
        </w:tabs>
        <w:spacing w:after="240" w:before="240" w:line="240" w:lineRule="auto"/>
        <w:ind w:left="708.6614173228347" w:right="0"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e) Pérdida de la biodiversidad, el uso excesivo de insecticidas y fertilizantes químicos dañan nuestros suelos, insectos beneficios y mantos acuíferos, lo que causa una inestabilidad ecológica.</w:t>
      </w:r>
      <w:r w:rsidDel="00000000" w:rsidR="00000000" w:rsidRPr="00000000">
        <w:br w:type="page"/>
      </w:r>
      <w:r w:rsidDel="00000000" w:rsidR="00000000" w:rsidRPr="00000000">
        <w:rPr>
          <w:rtl w:val="0"/>
        </w:rPr>
      </w:r>
    </w:p>
    <w:p w:rsidR="00000000" w:rsidDel="00000000" w:rsidP="00000000" w:rsidRDefault="00000000" w:rsidRPr="00000000" w14:paraId="00000025">
      <w:pPr>
        <w:shd w:fill="ffffff" w:val="clear"/>
        <w:tabs>
          <w:tab w:val="center" w:leader="none" w:pos="4419"/>
          <w:tab w:val="right" w:leader="none" w:pos="8838"/>
          <w:tab w:val="left" w:leader="none" w:pos="1134"/>
        </w:tabs>
        <w:spacing w:after="0" w:line="240" w:lineRule="auto"/>
        <w:ind w:left="720" w:firstLine="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6">
      <w:pPr>
        <w:numPr>
          <w:ilvl w:val="0"/>
          <w:numId w:val="1"/>
        </w:numPr>
        <w:shd w:fill="ffffff" w:val="clear"/>
        <w:tabs>
          <w:tab w:val="center" w:leader="none" w:pos="4419"/>
          <w:tab w:val="right" w:leader="none" w:pos="8838"/>
          <w:tab w:val="left" w:leader="none" w:pos="1134"/>
        </w:tabs>
        <w:spacing w:after="0" w:line="240" w:lineRule="auto"/>
        <w:ind w:left="720" w:hanging="360"/>
        <w:jc w:val="both"/>
        <w:rPr>
          <w:rFonts w:ascii="Arial" w:cs="Arial" w:eastAsia="Arial" w:hAnsi="Arial"/>
          <w:b w:val="0"/>
          <w:bCs w:val="0"/>
          <w:sz w:val="26"/>
          <w:szCs w:val="26"/>
        </w:rPr>
      </w:pPr>
      <w:r w:rsidDel="00000000" w:rsidR="00000000" w:rsidRPr="00000000">
        <w:rPr>
          <w:rFonts w:ascii="Arial" w:cs="Arial" w:eastAsia="Arial" w:hAnsi="Arial"/>
          <w:sz w:val="26"/>
          <w:szCs w:val="26"/>
          <w:rtl w:val="0"/>
        </w:rPr>
        <w:t xml:space="preserve">Árbol de problemas</w:t>
      </w:r>
    </w:p>
    <w:p w:rsidR="00000000" w:rsidDel="00000000" w:rsidP="00000000" w:rsidRDefault="00000000" w:rsidRPr="00000000" w14:paraId="00000027">
      <w:pPr>
        <w:shd w:fill="ffffff" w:val="clear"/>
        <w:tabs>
          <w:tab w:val="center" w:leader="none" w:pos="4419"/>
          <w:tab w:val="right" w:leader="none" w:pos="8838"/>
          <w:tab w:val="left" w:leader="none" w:pos="1134"/>
        </w:tabs>
        <w:spacing w:after="0" w:line="240" w:lineRule="auto"/>
        <w:ind w:left="720" w:firstLine="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ind w:right="-9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before="240" w:line="288" w:lineRule="auto"/>
        <w:ind w:left="141.73228346456688"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Pr>
        <w:drawing>
          <wp:inline distB="114300" distT="114300" distL="114300" distR="114300">
            <wp:extent cx="6480810" cy="3937000"/>
            <wp:effectExtent b="0" l="0" r="0" t="0"/>
            <wp:docPr id="6"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6480810" cy="39370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jc w:val="both"/>
        <w:rPr>
          <w:rFonts w:ascii="Arial" w:cs="Arial" w:eastAsia="Arial" w:hAnsi="Arial"/>
          <w:b w:val="1"/>
          <w:bCs w:val="1"/>
          <w:sz w:val="23"/>
          <w:szCs w:val="23"/>
          <w:highlight w:val="white"/>
        </w:rPr>
      </w:pPr>
      <w:r w:rsidDel="00000000" w:rsidR="00000000" w:rsidRPr="00000000">
        <w:rPr>
          <w:rFonts w:ascii="Arial" w:cs="Arial" w:eastAsia="Arial" w:hAnsi="Arial"/>
          <w:b w:val="1"/>
          <w:bCs w:val="1"/>
          <w:sz w:val="23"/>
          <w:szCs w:val="23"/>
          <w:highlight w:val="white"/>
          <w:rtl w:val="0"/>
        </w:rPr>
        <w:t xml:space="preserve">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ind w:right="-920"/>
        <w:jc w:val="both"/>
        <w:rPr>
          <w:rFonts w:ascii="Arial" w:cs="Arial" w:eastAsia="Arial" w:hAnsi="Arial"/>
          <w:b w:val="1"/>
          <w:bCs w:val="1"/>
          <w:sz w:val="23"/>
          <w:szCs w:val="23"/>
          <w:highlight w:val="white"/>
        </w:rPr>
      </w:pPr>
      <w:r w:rsidDel="00000000" w:rsidR="00000000" w:rsidRPr="00000000">
        <w:rPr>
          <w:rFonts w:ascii="Arial" w:cs="Arial" w:eastAsia="Arial" w:hAnsi="Arial"/>
          <w:b w:val="1"/>
          <w:bCs w:val="1"/>
          <w:sz w:val="23"/>
          <w:szCs w:val="23"/>
          <w:highlight w:val="white"/>
          <w:rtl w:val="0"/>
        </w:rPr>
        <w:t xml:space="preserve">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ind w:right="-9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ind w:right="-920"/>
        <w:jc w:val="both"/>
        <w:rPr>
          <w:rFonts w:ascii="Arial" w:cs="Arial" w:eastAsia="Arial" w:hAnsi="Arial"/>
          <w:b w:val="1"/>
          <w:bCs w:val="1"/>
          <w:sz w:val="23"/>
          <w:szCs w:val="23"/>
          <w:highlight w:val="white"/>
        </w:rPr>
      </w:pPr>
      <w:r w:rsidDel="00000000" w:rsidR="00000000" w:rsidRPr="00000000">
        <w:rPr>
          <w:rFonts w:ascii="Arial" w:cs="Arial" w:eastAsia="Arial" w:hAnsi="Arial"/>
          <w:b w:val="1"/>
          <w:bCs w:val="1"/>
          <w:sz w:val="23"/>
          <w:szCs w:val="23"/>
          <w:highlight w:val="white"/>
          <w:rtl w:val="0"/>
        </w:rPr>
        <w:t xml:space="preserve"> </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ind w:right="-9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ind w:left="-850.3937007874016"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tabs>
          <w:tab w:val="center" w:leader="none" w:pos="4419"/>
          <w:tab w:val="right" w:leader="none" w:pos="8838"/>
          <w:tab w:val="left" w:leader="none" w:pos="1134"/>
        </w:tabs>
        <w:spacing w:after="0" w:line="240" w:lineRule="auto"/>
        <w:ind w:right="-920"/>
        <w:jc w:val="both"/>
        <w:rPr/>
      </w:pPr>
      <w:r w:rsidDel="00000000" w:rsidR="00000000" w:rsidRPr="00000000">
        <w:rPr>
          <w:rFonts w:ascii="Arial" w:cs="Arial" w:eastAsia="Arial" w:hAnsi="Arial"/>
          <w:b w:val="1"/>
          <w:bCs w:val="1"/>
          <w:sz w:val="23"/>
          <w:szCs w:val="23"/>
          <w:rtl w:val="0"/>
        </w:rPr>
        <w:t xml:space="preserve">             </w:t>
      </w:r>
      <w:r w:rsidDel="00000000" w:rsidR="00000000" w:rsidRPr="00000000">
        <w:rPr>
          <w:rFonts w:ascii="Arial" w:cs="Arial" w:eastAsia="Arial" w:hAnsi="Arial"/>
          <w:b w:val="1"/>
          <w:bCs w:val="1"/>
          <w:sz w:val="19"/>
          <w:szCs w:val="19"/>
          <w:rtl w:val="0"/>
        </w:rPr>
        <w:t xml:space="preserve">                                                </w:t>
      </w:r>
      <w:r w:rsidDel="00000000" w:rsidR="00000000" w:rsidRPr="00000000">
        <w:rPr>
          <w:rtl w:val="0"/>
        </w:rPr>
        <w:tab/>
      </w:r>
    </w:p>
    <w:sectPr>
      <w:headerReference r:id="rId7" w:type="default"/>
      <w:footerReference r:id="rId8" w:type="default"/>
      <w:pgSz w:h="15840" w:w="12240" w:orient="portrait"/>
      <w:pgMar w:bottom="720" w:top="2127" w:left="993" w:right="1041" w:header="708" w:footer="34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404040"/>
        <w:sz w:val="24"/>
        <w:szCs w:val="24"/>
        <w:u w:val="none"/>
        <w:shd w:fill="auto" w:val="clear"/>
        <w:vertAlign w:val="baseline"/>
      </w:rPr>
    </w:pPr>
    <w:r w:rsidDel="00000000" w:rsidR="00000000" w:rsidRPr="00000000">
      <w:rPr>
        <w:rtl w:val="0"/>
      </w:rPr>
    </w:r>
  </w:p>
  <w:tbl>
    <w:tblPr>
      <w:tblStyle w:val="Table2"/>
      <w:tblW w:w="10098.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285"/>
      <w:gridCol w:w="3386"/>
      <w:gridCol w:w="3427"/>
      <w:tblGridChange w:id="0">
        <w:tblGrid>
          <w:gridCol w:w="3285"/>
          <w:gridCol w:w="3386"/>
          <w:gridCol w:w="3427"/>
        </w:tblGrid>
      </w:tblGridChange>
    </w:tblGrid>
    <w:tr>
      <w:trPr>
        <w:cantSplit w:val="0"/>
        <w:tblHeader w:val="0"/>
      </w:trPr>
      <w:tc>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entury Gothic" w:cs="Century Gothic" w:eastAsia="Century Gothic" w:hAnsi="Century Gothic"/>
              <w:b w:val="1"/>
              <w:bCs w:val="1"/>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entury Gothic" w:cs="Century Gothic" w:eastAsia="Century Gothic" w:hAnsi="Century Gothic"/>
              <w:b w:val="1"/>
              <w:bCs w:val="1"/>
              <w:i w:val="0"/>
              <w:iCs w:val="0"/>
              <w:smallCaps w:val="0"/>
              <w:strike w:val="0"/>
              <w:color w:val="000000"/>
              <w:sz w:val="16"/>
              <w:szCs w:val="16"/>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16"/>
              <w:szCs w:val="16"/>
              <w:u w:val="none"/>
              <w:shd w:fill="auto" w:val="clear"/>
              <w:vertAlign w:val="baseline"/>
              <w:rtl w:val="0"/>
            </w:rPr>
            <w:t xml:space="preserve">                              </w:t>
          </w:r>
        </w:p>
      </w:tc>
      <w:tc>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entury Gothic" w:cs="Century Gothic" w:eastAsia="Century Gothic" w:hAnsi="Century Gothic"/>
              <w:b w:val="1"/>
              <w:bCs w:val="1"/>
              <w:i w:val="0"/>
              <w:iCs w:val="0"/>
              <w:smallCaps w:val="0"/>
              <w:strike w:val="0"/>
              <w:color w:val="000000"/>
              <w:sz w:val="16"/>
              <w:szCs w:val="16"/>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16"/>
              <w:szCs w:val="16"/>
              <w:u w:val="none"/>
              <w:shd w:fill="auto" w:val="clear"/>
              <w:vertAlign w:val="baseline"/>
              <w:rtl w:val="0"/>
            </w:rPr>
            <w:t xml:space="preserve">Página </w:t>
          </w:r>
          <w:r w:rsidDel="00000000" w:rsidR="00000000" w:rsidRPr="00000000">
            <w:rPr>
              <w:rFonts w:ascii="Century Gothic" w:cs="Century Gothic" w:eastAsia="Century Gothic" w:hAnsi="Century Gothic"/>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entury Gothic" w:cs="Century Gothic" w:eastAsia="Century Gothic" w:hAnsi="Century Gothic"/>
              <w:b w:val="1"/>
              <w:bCs w:val="1"/>
              <w:i w:val="0"/>
              <w:iCs w:val="0"/>
              <w:smallCaps w:val="0"/>
              <w:strike w:val="0"/>
              <w:color w:val="000000"/>
              <w:sz w:val="16"/>
              <w:szCs w:val="16"/>
              <w:u w:val="none"/>
              <w:shd w:fill="auto" w:val="clear"/>
              <w:vertAlign w:val="baseline"/>
              <w:rtl w:val="0"/>
            </w:rPr>
            <w:t xml:space="preserve"> de </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-108265</wp:posOffset>
              </wp:positionH>
              <wp:positionV relativeFrom="paragraph">
                <wp:posOffset>9763443</wp:posOffset>
              </wp:positionV>
              <wp:extent cx="7833360" cy="185420"/>
              <wp:effectExtent b="0" l="0" r="0" t="0"/>
              <wp:wrapNone/>
              <wp:docPr id="1" name=""/>
              <a:graphic>
                <a:graphicData uri="http://schemas.microsoft.com/office/word/2010/wordprocessingShape">
                  <wps:wsp>
                    <wps:cNvSpPr/>
                    <wps:cNvPr id="2" name="Shape 2"/>
                    <wps:spPr>
                      <a:xfrm>
                        <a:off x="1434083" y="3692053"/>
                        <a:ext cx="7823835" cy="175895"/>
                      </a:xfrm>
                      <a:prstGeom prst="rect">
                        <a:avLst/>
                      </a:prstGeom>
                      <a:solidFill>
                        <a:srgbClr val="FF83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-108265</wp:posOffset>
              </wp:positionH>
              <wp:positionV relativeFrom="paragraph">
                <wp:posOffset>9763443</wp:posOffset>
              </wp:positionV>
              <wp:extent cx="7833360" cy="185420"/>
              <wp:effectExtent b="0" l="0" r="0" t="0"/>
              <wp:wrapNone/>
              <wp:docPr id="1"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7833360" cy="1854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-108265</wp:posOffset>
              </wp:positionH>
              <wp:positionV relativeFrom="paragraph">
                <wp:posOffset>9763443</wp:posOffset>
              </wp:positionV>
              <wp:extent cx="7833360" cy="185420"/>
              <wp:effectExtent b="0" l="0" r="0" t="0"/>
              <wp:wrapNone/>
              <wp:docPr id="2" name=""/>
              <a:graphic>
                <a:graphicData uri="http://schemas.microsoft.com/office/word/2010/wordprocessingShape">
                  <wps:wsp>
                    <wps:cNvSpPr/>
                    <wps:cNvPr id="3" name="Shape 3"/>
                    <wps:spPr>
                      <a:xfrm>
                        <a:off x="1434083" y="3692053"/>
                        <a:ext cx="7823835" cy="175895"/>
                      </a:xfrm>
                      <a:prstGeom prst="rect">
                        <a:avLst/>
                      </a:prstGeom>
                      <a:solidFill>
                        <a:srgbClr val="FF83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-108265</wp:posOffset>
              </wp:positionH>
              <wp:positionV relativeFrom="paragraph">
                <wp:posOffset>9763443</wp:posOffset>
              </wp:positionV>
              <wp:extent cx="7833360" cy="185420"/>
              <wp:effectExtent b="0" l="0" r="0" t="0"/>
              <wp:wrapNone/>
              <wp:docPr id="2"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7833360" cy="1854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-633411</wp:posOffset>
              </wp:positionH>
              <wp:positionV relativeFrom="paragraph">
                <wp:posOffset>84773</wp:posOffset>
              </wp:positionV>
              <wp:extent cx="7833360" cy="314325"/>
              <wp:effectExtent b="0" l="0" r="0" t="0"/>
              <wp:wrapNone/>
              <wp:docPr id="3" name=""/>
              <a:graphic>
                <a:graphicData uri="http://schemas.microsoft.com/office/word/2010/wordprocessingShape">
                  <wps:wsp>
                    <wps:cNvSpPr/>
                    <wps:cNvPr id="4" name="Shape 4"/>
                    <wps:spPr>
                      <a:xfrm>
                        <a:off x="1434083" y="3627600"/>
                        <a:ext cx="7823835" cy="304800"/>
                      </a:xfrm>
                      <a:prstGeom prst="rect">
                        <a:avLst/>
                      </a:prstGeom>
                      <a:solidFill>
                        <a:srgbClr val="FF8300"/>
                      </a:solid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323e4f"/>
                              <w:sz w:val="22"/>
                              <w:vertAlign w:val="baseline"/>
                            </w:rPr>
                            <w:t xml:space="preserve">programas.app.jalisco.gob.mx</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-633411</wp:posOffset>
              </wp:positionH>
              <wp:positionV relativeFrom="paragraph">
                <wp:posOffset>84773</wp:posOffset>
              </wp:positionV>
              <wp:extent cx="7833360" cy="314325"/>
              <wp:effectExtent b="0" l="0" r="0" t="0"/>
              <wp:wrapNone/>
              <wp:docPr id="3"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7833360" cy="31432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1020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400"/>
      <w:gridCol w:w="3403"/>
      <w:gridCol w:w="3403"/>
      <w:tblGridChange w:id="0">
        <w:tblGrid>
          <w:gridCol w:w="3400"/>
          <w:gridCol w:w="3403"/>
          <w:gridCol w:w="3403"/>
        </w:tblGrid>
      </w:tblGridChange>
    </w:tblGrid>
    <w:tr>
      <w:trPr>
        <w:cantSplit w:val="0"/>
        <w:trHeight w:val="851" w:hRule="atLeast"/>
        <w:tblHeader w:val="0"/>
      </w:trPr>
      <w:tc>
        <w:tcPr>
          <w:shd w:fill="auto" w:val="cle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404040"/>
              <w:sz w:val="18"/>
              <w:szCs w:val="1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17146</wp:posOffset>
                </wp:positionH>
                <wp:positionV relativeFrom="paragraph">
                  <wp:posOffset>-40004</wp:posOffset>
                </wp:positionV>
                <wp:extent cx="2047875" cy="548201"/>
                <wp:effectExtent b="0" l="0" r="0" t="0"/>
                <wp:wrapNone/>
                <wp:docPr id="5" name="image3.png"/>
                <a:graphic>
                  <a:graphicData uri="http://schemas.openxmlformats.org/drawingml/2006/picture">
                    <pic:pic>
                      <pic:nvPicPr>
                        <pic:cNvPr id="0" name="image3.png"/>
                        <pic:cNvPicPr preferRelativeResize="0"/>
                      </pic:nvPicPr>
                      <pic:blipFill>
                        <a:blip r:embed="rId1"/>
                        <a:srcRect b="13575" l="6272" r="5052" t="11225"/>
                        <a:stretch>
                          <a:fillRect/>
                        </a:stretch>
                      </pic:blipFill>
                      <pic:spPr>
                        <a:xfrm>
                          <a:off x="0" y="0"/>
                          <a:ext cx="2047875" cy="548201"/>
                        </a:xfrm>
                        <a:prstGeom prst="rect"/>
                        <a:ln/>
                      </pic:spPr>
                    </pic:pic>
                  </a:graphicData>
                </a:graphic>
              </wp:anchor>
            </w:drawing>
          </w:r>
        </w:p>
      </w:tc>
      <w:tc>
        <w:tcPr>
          <w:shd w:fill="auto" w:val="cle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404040"/>
              <w:sz w:val="18"/>
              <w:szCs w:val="1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837565</wp:posOffset>
                </wp:positionH>
                <wp:positionV relativeFrom="paragraph">
                  <wp:posOffset>-44449</wp:posOffset>
                </wp:positionV>
                <wp:extent cx="1257300" cy="505185"/>
                <wp:effectExtent b="0" l="0" r="0" t="0"/>
                <wp:wrapNone/>
                <wp:docPr id="7"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1257300" cy="505185"/>
                        </a:xfrm>
                        <a:prstGeom prst="rect"/>
                        <a:ln/>
                      </pic:spPr>
                    </pic:pic>
                  </a:graphicData>
                </a:graphic>
              </wp:anchor>
            </w:drawing>
          </w:r>
        </w:p>
      </w:tc>
      <w:tc>
        <w:tcPr>
          <w:shd w:fill="auto" w:val="clea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40404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1122680</wp:posOffset>
                </wp:positionH>
                <wp:positionV relativeFrom="paragraph">
                  <wp:posOffset>-190499</wp:posOffset>
                </wp:positionV>
                <wp:extent cx="694794" cy="657225"/>
                <wp:effectExtent b="0" l="0" r="0" t="0"/>
                <wp:wrapNone/>
                <wp:docPr id="4" name="image1.png"/>
                <a:graphic>
                  <a:graphicData uri="http://schemas.openxmlformats.org/drawingml/2006/picture">
                    <pic:pic>
                      <pic:nvPicPr>
                        <pic:cNvPr id="0" name="image1.png"/>
                        <pic:cNvPicPr preferRelativeResize="0"/>
                      </pic:nvPicPr>
                      <pic:blipFill>
                        <a:blip r:embed="rId3"/>
                        <a:srcRect b="9412" l="5009" r="76056" t="8174"/>
                        <a:stretch>
                          <a:fillRect/>
                        </a:stretch>
                      </pic:blipFill>
                      <pic:spPr>
                        <a:xfrm>
                          <a:off x="0" y="0"/>
                          <a:ext cx="694794" cy="657225"/>
                        </a:xfrm>
                        <a:prstGeom prst="rect"/>
                        <a:ln/>
                      </pic:spPr>
                    </pic:pic>
                  </a:graphicData>
                </a:graphic>
              </wp:anchor>
            </w:drawing>
          </w:r>
        </w:p>
      </w:tc>
    </w:tr>
  </w:tb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40404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b w:val="0"/>
        <w:bCs w:val="0"/>
        <w:color w:val="000000"/>
      </w:rPr>
    </w:lvl>
    <w:lvl w:ilvl="1">
      <w:start w:val="1"/>
      <w:numFmt w:val="upperRoman"/>
      <w:lvlText w:val="%2."/>
      <w:lvlJc w:val="left"/>
      <w:pPr>
        <w:ind w:left="1440" w:hanging="360"/>
      </w:pPr>
      <w:rPr/>
    </w:lvl>
    <w:lvl w:ilvl="2">
      <w:start w:val="1"/>
      <w:numFmt w:val="lowerLetter"/>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MX"/>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