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5E862" w14:textId="1E0F8D1C" w:rsidR="001A41CE" w:rsidRPr="001A41CE" w:rsidRDefault="003C42E8"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Pr>
          <w:rFonts w:ascii="Arial" w:eastAsia="Times New Roman" w:hAnsi="Arial" w:cs="Arial"/>
          <w:b/>
          <w:bCs/>
          <w:color w:val="FFFFFF" w:themeColor="background1"/>
          <w:spacing w:val="20"/>
          <w:w w:val="150"/>
          <w:sz w:val="24"/>
          <w:szCs w:val="24"/>
          <w:lang w:eastAsia="es-ES_tradnl"/>
        </w:rPr>
        <w:t>DIAGNÓSTICO</w:t>
      </w:r>
    </w:p>
    <w:p w14:paraId="79B0BD22" w14:textId="0662AB00" w:rsidR="001A41CE" w:rsidRPr="00835BEA"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Dependencia: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Secretaría de Cultura</w:t>
      </w:r>
    </w:p>
    <w:p w14:paraId="0C54B0C6" w14:textId="3BAB29DA"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ECOS, Música para la Paz</w:t>
      </w:r>
    </w:p>
    <w:p w14:paraId="489E93BA"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p w14:paraId="6814B3CF" w14:textId="23B085E3" w:rsidR="003C42E8" w:rsidRDefault="003C42E8" w:rsidP="003C42E8">
      <w:r>
        <w:t>Descripción del problema público.</w:t>
      </w:r>
    </w:p>
    <w:p w14:paraId="1025BE42" w14:textId="280D9D4D" w:rsidR="003C42E8" w:rsidRDefault="003C42E8" w:rsidP="003C42E8">
      <w:r>
        <w:t>Introducción al problema público y antecedentes del programa.</w:t>
      </w:r>
    </w:p>
    <w:p w14:paraId="1965FFA9" w14:textId="77777777" w:rsidR="003C42E8" w:rsidRDefault="003C42E8" w:rsidP="004D6767">
      <w:pPr>
        <w:jc w:val="both"/>
      </w:pPr>
      <w:r>
        <w:t>En el estado de Jalisco, un sector importante de niñas, niños y adolescentes (NNA) enfrenta limitaciones para ejercer plenamente sus derechos culturales debido a contextos de desigualdad social, entornos de violencia y una oferta artística y formativa insuficiente o territorialmente concentrada. Estas condiciones restringen las oportunidades de participación cultural y limitan el desarrollo integral de este sector de la población.</w:t>
      </w:r>
    </w:p>
    <w:p w14:paraId="1E400A68" w14:textId="77777777" w:rsidR="003C42E8" w:rsidRDefault="003C42E8" w:rsidP="004D6767">
      <w:pPr>
        <w:jc w:val="both"/>
      </w:pPr>
      <w:r>
        <w:t>De acuerdo con datos del Instituto de Información Estadística y Geográfica del Estado de Jalisco (IIEG) y del Consejo Nacional de Evaluación de la Política de Desarrollo Social (CONEVAL), en el estado habitan más de 2.6 millones de niñas, niños y adolescentes, de los cuales un porcentaje significativo vive en condiciones de pobreza o vulnerabilidad social. Estas condiciones impactan directamente en el acceso a bienes y servicios culturales, particularmente en comunidades rurales, indígenas y zonas urbanas con altos índices de marginación.</w:t>
      </w:r>
    </w:p>
    <w:p w14:paraId="28A2E932" w14:textId="77777777" w:rsidR="003C42E8" w:rsidRDefault="003C42E8" w:rsidP="004D6767">
      <w:pPr>
        <w:jc w:val="both"/>
      </w:pPr>
      <w:r>
        <w:t>La limitada disponibilidad de infraestructura cultural, así como las desigualdades territoriales en el acceso a programas de formación artística, contribuyen a ampliar las brechas de participación cultural entre distintos sectores de la población infantil y adolescente. Ante este contexto, resulta necesario implementar modelos comunitarios sostenidos que articulen la formación artística con estrategias de inclusión social y construcción de paz.</w:t>
      </w:r>
    </w:p>
    <w:p w14:paraId="7AD3A804" w14:textId="77777777" w:rsidR="003C42E8" w:rsidRDefault="003C42E8" w:rsidP="004D6767">
      <w:pPr>
        <w:jc w:val="both"/>
      </w:pPr>
      <w:r>
        <w:t>En respuesta, en 2013 el Gobierno del Estado creó el Programa ECOS, Música para el Desarrollo, incorporándose al proyecto nacional de agrupaciones musicales comunitarias. En 2019, el Programa adoptó el nombre ECOS, Música para la Paz, consolidando un enfoque social, ético y comunitario. A pesar de las afectaciones derivadas de la pandemia en 2020, el Programa mantuvo su operación mediante clases virtuales y capacitación continua.</w:t>
      </w:r>
    </w:p>
    <w:p w14:paraId="7DCD09BE" w14:textId="77777777" w:rsidR="003C42E8" w:rsidRDefault="003C42E8" w:rsidP="004D6767">
      <w:pPr>
        <w:jc w:val="both"/>
      </w:pPr>
      <w:r>
        <w:t>Durante la pandemia por COVID-19 en 2020, el programa enfrentó afectaciones operativas; sin embargo, mantuvo su funcionamiento mediante clases virtuales, acompañamiento pedagógico y procesos de capacitación continua para su comunidad docente.</w:t>
      </w:r>
    </w:p>
    <w:p w14:paraId="152F6EF2" w14:textId="77777777" w:rsidR="003C42E8" w:rsidRDefault="003C42E8" w:rsidP="004D6767">
      <w:pPr>
        <w:jc w:val="both"/>
      </w:pPr>
      <w:r>
        <w:t>Entre 2022 y 2025, el programa registró un crecimiento sostenido reflejado en el incremento de niñas, niños y adolescentes participantes, la apertura de nuevos núcleos comunitarios, el fortalecimiento territorial del programa, la realización de más de 400 presentaciones comunitarias, así como la actualización de procesos pedagógicos y el fortalecimiento de colaboraciones interinstitucionales.</w:t>
      </w:r>
    </w:p>
    <w:p w14:paraId="3B8BD535" w14:textId="77777777" w:rsidR="003C42E8" w:rsidRDefault="003C42E8" w:rsidP="004D6767">
      <w:pPr>
        <w:jc w:val="both"/>
      </w:pPr>
      <w:r>
        <w:t xml:space="preserve">En 2025, el programa avanzó hacia la consolidación del </w:t>
      </w:r>
      <w:proofErr w:type="spellStart"/>
      <w:r>
        <w:t>ECOSistema</w:t>
      </w:r>
      <w:proofErr w:type="spellEnd"/>
      <w:r>
        <w:t>, entendido como un conjunto articulado de espacios formativos, comunitarios y artísticos orientados al desarrollo musical y social de NNA. En este marco se consolidaron las Agrupaciones Estatales ECOS, entre ellas la Orquesta Sinfónica ECOS Jalisco (OSEJ) y la Banda Sinfónica Estatal ECOS (BASEE), concebidas como rutas de continuidad y excelencia para quienes avanzan en su trayectoria musical dentro del programa.</w:t>
      </w:r>
    </w:p>
    <w:p w14:paraId="7E7F3036" w14:textId="77777777" w:rsidR="003C42E8" w:rsidRDefault="003C42E8" w:rsidP="003C42E8"/>
    <w:p w14:paraId="70697F46" w14:textId="56465B54" w:rsidR="003C42E8" w:rsidRDefault="003C42E8" w:rsidP="003C42E8">
      <w:r>
        <w:lastRenderedPageBreak/>
        <w:t>Desarrollo de la descripción del problema público.</w:t>
      </w:r>
    </w:p>
    <w:p w14:paraId="564BF32A" w14:textId="77777777" w:rsidR="003C42E8" w:rsidRDefault="003C42E8" w:rsidP="004D6767">
      <w:pPr>
        <w:jc w:val="both"/>
      </w:pPr>
      <w:r>
        <w:t xml:space="preserve">La Convención de los Derechos del Niño señala el derecho de NNA a participar libremente en la vida cultural y en las artes como parte de su desarrollo integral. Las condiciones de vulnerabilidad social como: pobreza, delincuencia y adicciones, presentes en el contexto inmediato de un porcentaje considerable del sector infantil, limitan las oportunidades de desarrollarse de forma digna. </w:t>
      </w:r>
    </w:p>
    <w:p w14:paraId="4C5F7492" w14:textId="77777777" w:rsidR="003C42E8" w:rsidRDefault="003C42E8" w:rsidP="004D6767">
      <w:pPr>
        <w:jc w:val="both"/>
      </w:pPr>
      <w:r>
        <w:t>En el estado de Jalisco, niñas, niños y adolescentes que habitan en contextos de vulnerabilidad socioeconómica y territorial enfrentan limitaciones estructurales para acceder a espacios de formación y expresión artístico-cultural, lo que restringe su desarrollo integral y su integración social.</w:t>
      </w:r>
    </w:p>
    <w:p w14:paraId="3B251448" w14:textId="77777777" w:rsidR="003C42E8" w:rsidRDefault="003C42E8" w:rsidP="004D6767">
      <w:pPr>
        <w:jc w:val="both"/>
      </w:pPr>
      <w:r>
        <w:t>Estas condiciones de vulnerabilidad afectan de manera diferenciada a niñas, niños y adolescentes. Por un lado, las niñas y adolescentes históricamente han enfrentado barreras culturales y estereotipos de género que han limitado su participación en diversas expresiones artísticas, incluyendo la música. En este sentido, resulta fundamental garantizar su acceso y permanencia en espacios culturales en condiciones de igualdad y libres de discriminación.</w:t>
      </w:r>
    </w:p>
    <w:p w14:paraId="41C2D57B" w14:textId="77777777" w:rsidR="003C42E8" w:rsidRDefault="003C42E8" w:rsidP="004D6767">
      <w:pPr>
        <w:jc w:val="both"/>
      </w:pPr>
      <w:r>
        <w:t>Por otro lado, los niños y adolescentes varones que crecen en contextos de violencia y desigualdad social pueden estar expuestos a presiones sociales vinculadas a dinámicas de riesgo, como la normalización de la violencia o la incorporación temprana a entornos delictivos. En este contexto, el acceso a espacios artísticos y culturales se vuelve una alternativa positiva para promover habilidades socioemocionales, convivencia pacífica y proyectos de vida constructivos para ambos géneros.</w:t>
      </w:r>
    </w:p>
    <w:p w14:paraId="513D0F50" w14:textId="77777777" w:rsidR="003C42E8" w:rsidRDefault="003C42E8" w:rsidP="004D6767">
      <w:pPr>
        <w:jc w:val="both"/>
      </w:pPr>
      <w:r>
        <w:t>Entre las principales causas del problema se identifican la concentración de la oferta cultural en zonas urbanas con mayor desarrollo, la insuficiente inversión en infraestructura cultural en comunidades vulnerables, las condiciones de pobreza y marginación que limitan la participación de NNA en actividades formativas, así como brechas educativas y restricciones económicas que reducen las oportunidades de acceso a bienes y servicios culturales.</w:t>
      </w:r>
    </w:p>
    <w:p w14:paraId="305BFBD5" w14:textId="77777777" w:rsidR="003C42E8" w:rsidRDefault="003C42E8" w:rsidP="004D6767">
      <w:pPr>
        <w:jc w:val="both"/>
      </w:pPr>
      <w:r>
        <w:t xml:space="preserve">Las colonias y localidades intervenidas presentan distintos niveles de vulnerabilidad social derivados de condiciones socioeconómicas, territoriales y de acceso a servicios básicos. En núcleos como </w:t>
      </w:r>
      <w:proofErr w:type="spellStart"/>
      <w:r>
        <w:t>TateiKie</w:t>
      </w:r>
      <w:proofErr w:type="spellEnd"/>
      <w:r>
        <w:t xml:space="preserve"> y El Chalate, ubicados en contextos predominantemente rurales e indígenas, se observan brechas estructurales en infraestructura y servicios como educación, energía eléctrica, agua potable y drenaje. Asimismo, diversas localidades registran un grado promedio de escolaridad inferior al promedio estatal, lo que refleja mayores rezagos educativos y limitadas oportunidades de movilidad social. Esta situación contrasta con zonas urbanas de mayor desarrollo, como algunas colonias del municipio de Zapopan, donde si bien existe mayor infraestructura urbana, también se presentan dinámicas de desigualdad y vulnerabilidad social en determinados sectores de la población.</w:t>
      </w:r>
    </w:p>
    <w:p w14:paraId="452399C2" w14:textId="77777777" w:rsidR="003C42E8" w:rsidRDefault="003C42E8" w:rsidP="004D6767">
      <w:pPr>
        <w:jc w:val="both"/>
      </w:pPr>
      <w:r>
        <w:t>Adicionalmente, en diversas regiones del estado persisten carencias en el acceso a servicios de salud, lo que contribuye a profundizar las condiciones de vulnerabilidad social que enfrentan niñas, niños y adolescentes.</w:t>
      </w:r>
    </w:p>
    <w:p w14:paraId="176BC9AB" w14:textId="77777777" w:rsidR="003C42E8" w:rsidRDefault="003C42E8" w:rsidP="004D6767">
      <w:pPr>
        <w:jc w:val="both"/>
      </w:pPr>
      <w:r>
        <w:t>Otro factor relevante que impacta el desarrollo integral de NNA es la presencia de entornos inseguros. En este sentido, resulta importante considerar la incidencia delictiva registrada en las carpetas de investigación reportadas por la Fiscalía del Estado de Jalisco, de acuerdo con la información sistematizada por el Instituto de Información Estadística y Geográfica del Estado de Jalisco (IIEG).</w:t>
      </w:r>
    </w:p>
    <w:p w14:paraId="1D245A53" w14:textId="77777777" w:rsidR="003C42E8" w:rsidRDefault="003C42E8" w:rsidP="003C42E8"/>
    <w:p w14:paraId="4B10B340" w14:textId="77777777" w:rsidR="003C42E8" w:rsidRDefault="003C42E8" w:rsidP="004D6767">
      <w:pPr>
        <w:jc w:val="both"/>
      </w:pPr>
      <w:r>
        <w:t>Los datos presentados en la siguiente tabla muestran la evolución de algunos de los 16 delitos de seguimiento prioritario, entre los que se encuentran el abuso sexual infantil, feminicidio, homicidio doloso, lesiones dolosas, robo a persona, robo a casa habitación, violación y violencia familiar, entre otros.</w:t>
      </w:r>
    </w:p>
    <w:p w14:paraId="78066C12" w14:textId="6BAC3D22" w:rsidR="003C42E8" w:rsidRPr="003C42E8" w:rsidRDefault="003C42E8" w:rsidP="004D6767">
      <w:pPr>
        <w:jc w:val="both"/>
        <w:rPr>
          <w:rFonts w:ascii="Roboto Condensed" w:eastAsia="Times New Roman" w:hAnsi="Roboto Condensed" w:cs="Times New Roman"/>
          <w:color w:val="000000"/>
          <w:sz w:val="17"/>
          <w:szCs w:val="17"/>
          <w:lang w:eastAsia="es-MX"/>
        </w:rPr>
      </w:pPr>
      <w:r>
        <w:lastRenderedPageBreak/>
        <w:t>Los registros permiten observar la magnitud y distribución territorial de la incidencia delictiva en distintos municipios del estado durante el periodo 2021-2025. Municipios con mayor densidad poblacional como Guadalajara, Zapopan, San Pedro Tlaquepaque, Tlajomulco de Zúñiga y Tonalá concentran el mayor número absoluto de carpetas de investigación; sin embargo, también se identifican municipios de menor población donde estos fenómenos representan un desafío significativo para la seguridad y convivencia comunitaria.</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6"/>
        <w:gridCol w:w="2160"/>
        <w:gridCol w:w="1503"/>
        <w:gridCol w:w="1503"/>
        <w:gridCol w:w="1503"/>
        <w:gridCol w:w="1504"/>
      </w:tblGrid>
      <w:tr w:rsidR="003C42E8" w:rsidRPr="003C42E8" w14:paraId="065245AE" w14:textId="77777777" w:rsidTr="003C42E8">
        <w:trPr>
          <w:trHeight w:val="259"/>
          <w:jc w:val="center"/>
        </w:trPr>
        <w:tc>
          <w:tcPr>
            <w:tcW w:w="84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96CD5F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No.</w:t>
            </w:r>
          </w:p>
        </w:tc>
        <w:tc>
          <w:tcPr>
            <w:tcW w:w="2160" w:type="dxa"/>
            <w:tcBorders>
              <w:top w:val="single" w:sz="8" w:space="0" w:color="auto"/>
              <w:left w:val="outset" w:sz="6" w:space="0" w:color="auto"/>
              <w:bottom w:val="single" w:sz="8" w:space="0" w:color="auto"/>
              <w:right w:val="single" w:sz="8" w:space="0" w:color="auto"/>
            </w:tcBorders>
            <w:shd w:val="clear" w:color="auto" w:fill="D9D9D9"/>
            <w:tcMar>
              <w:top w:w="0" w:type="dxa"/>
              <w:left w:w="108" w:type="dxa"/>
              <w:bottom w:w="0" w:type="dxa"/>
              <w:right w:w="108" w:type="dxa"/>
            </w:tcMar>
            <w:hideMark/>
          </w:tcPr>
          <w:p w14:paraId="4F584B8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Nombre del municipio</w:t>
            </w:r>
          </w:p>
        </w:tc>
        <w:tc>
          <w:tcPr>
            <w:tcW w:w="1503" w:type="dxa"/>
            <w:tcBorders>
              <w:top w:val="single" w:sz="8" w:space="0" w:color="auto"/>
              <w:left w:val="outset" w:sz="6"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555C3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2021 - 2022</w:t>
            </w:r>
          </w:p>
        </w:tc>
        <w:tc>
          <w:tcPr>
            <w:tcW w:w="1503" w:type="dxa"/>
            <w:tcBorders>
              <w:top w:val="single" w:sz="8" w:space="0" w:color="auto"/>
              <w:left w:val="outset" w:sz="6" w:space="0" w:color="auto"/>
              <w:bottom w:val="single" w:sz="8" w:space="0" w:color="auto"/>
              <w:right w:val="single" w:sz="8" w:space="0" w:color="auto"/>
            </w:tcBorders>
            <w:shd w:val="clear" w:color="auto" w:fill="D9D9D9"/>
            <w:tcMar>
              <w:top w:w="0" w:type="dxa"/>
              <w:left w:w="108" w:type="dxa"/>
              <w:bottom w:w="0" w:type="dxa"/>
              <w:right w:w="108" w:type="dxa"/>
            </w:tcMar>
            <w:hideMark/>
          </w:tcPr>
          <w:p w14:paraId="2AC0A23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2022 - 2023</w:t>
            </w:r>
          </w:p>
        </w:tc>
        <w:tc>
          <w:tcPr>
            <w:tcW w:w="1503" w:type="dxa"/>
            <w:tcBorders>
              <w:top w:val="single" w:sz="8" w:space="0" w:color="auto"/>
              <w:left w:val="outset" w:sz="6" w:space="0" w:color="auto"/>
              <w:bottom w:val="single" w:sz="8" w:space="0" w:color="auto"/>
              <w:right w:val="single" w:sz="8" w:space="0" w:color="auto"/>
            </w:tcBorders>
            <w:shd w:val="clear" w:color="auto" w:fill="D9D9D9"/>
            <w:tcMar>
              <w:top w:w="0" w:type="dxa"/>
              <w:left w:w="108" w:type="dxa"/>
              <w:bottom w:w="0" w:type="dxa"/>
              <w:right w:w="108" w:type="dxa"/>
            </w:tcMar>
            <w:hideMark/>
          </w:tcPr>
          <w:p w14:paraId="3B1B32A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2023 - 2024</w:t>
            </w:r>
          </w:p>
        </w:tc>
        <w:tc>
          <w:tcPr>
            <w:tcW w:w="1504" w:type="dxa"/>
            <w:tcBorders>
              <w:top w:val="single" w:sz="8" w:space="0" w:color="auto"/>
              <w:left w:val="outset" w:sz="6" w:space="0" w:color="auto"/>
              <w:bottom w:val="single" w:sz="8" w:space="0" w:color="auto"/>
              <w:right w:val="single" w:sz="8" w:space="0" w:color="auto"/>
            </w:tcBorders>
            <w:shd w:val="clear" w:color="auto" w:fill="D9D9D9"/>
            <w:tcMar>
              <w:top w:w="0" w:type="dxa"/>
              <w:left w:w="108" w:type="dxa"/>
              <w:bottom w:w="0" w:type="dxa"/>
              <w:right w:w="108" w:type="dxa"/>
            </w:tcMar>
            <w:hideMark/>
          </w:tcPr>
          <w:p w14:paraId="1D7400E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2024- 2025</w:t>
            </w:r>
          </w:p>
        </w:tc>
      </w:tr>
      <w:tr w:rsidR="003C42E8" w:rsidRPr="003C42E8" w14:paraId="529B8771"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47CF7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EE1AD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Ahualulco de Mercado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88561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124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5B7BB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A6AAC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100</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F3233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116</w:t>
            </w:r>
          </w:p>
        </w:tc>
      </w:tr>
      <w:tr w:rsidR="003C42E8" w:rsidRPr="003C42E8" w14:paraId="569CBF0C"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A7E14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A7B2C5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Amacueca</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61495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46935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8F9EF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D2373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13</w:t>
            </w:r>
          </w:p>
        </w:tc>
      </w:tr>
      <w:tr w:rsidR="003C42E8" w:rsidRPr="003C42E8" w14:paraId="254116C2"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5A249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3BCBD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Atengo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08D0E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42EBD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5D3F6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35594F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12</w:t>
            </w:r>
          </w:p>
        </w:tc>
      </w:tr>
      <w:tr w:rsidR="003C42E8" w:rsidRPr="003C42E8" w14:paraId="18DDF01E"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12E57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F91F8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Atenguillo</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83A709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4FDBA0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D582D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09611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26</w:t>
            </w:r>
          </w:p>
        </w:tc>
      </w:tr>
      <w:tr w:rsidR="003C42E8" w:rsidRPr="003C42E8" w14:paraId="28BB366D"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517D0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37208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Atotonilco el Alto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E6EB5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188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DEAFB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243</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A089E4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ADFC7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175</w:t>
            </w:r>
          </w:p>
        </w:tc>
      </w:tr>
      <w:tr w:rsidR="003C42E8" w:rsidRPr="003C42E8" w14:paraId="35BAB2A7"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23BB3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D292C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Autlán de Navarro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356066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334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3F9D8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441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8AA87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441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6DE36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381</w:t>
            </w:r>
          </w:p>
        </w:tc>
      </w:tr>
      <w:tr w:rsidR="003C42E8" w:rsidRPr="003C42E8" w14:paraId="44C0FF5E"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64736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AD16B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Ayutla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4DE09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AF01B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E0932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7B282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26</w:t>
            </w:r>
          </w:p>
        </w:tc>
      </w:tr>
      <w:tr w:rsidR="003C42E8" w:rsidRPr="003C42E8" w14:paraId="71E4C505"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119BC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91167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Cabo Corrientes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21723B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C26A4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73886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34</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45694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39</w:t>
            </w:r>
          </w:p>
        </w:tc>
      </w:tr>
      <w:tr w:rsidR="003C42E8" w:rsidRPr="003C42E8" w14:paraId="6703A8AC"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067572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87B3F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Cañadas de Obregón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0FA5C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57B31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7E2D2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96388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w:t>
            </w:r>
          </w:p>
        </w:tc>
      </w:tr>
      <w:tr w:rsidR="003C42E8" w:rsidRPr="003C42E8" w14:paraId="79AEEE0B"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6AC49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03F91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Chapala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76EDD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Sin datos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8E79A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410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DE499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370</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B9459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383</w:t>
            </w:r>
          </w:p>
        </w:tc>
      </w:tr>
      <w:tr w:rsidR="003C42E8" w:rsidRPr="003C42E8" w14:paraId="0469E09D"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6EF0D7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E35BD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Chiquilistlán</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469B3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BCBC6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95BE0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A8B66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w:t>
            </w:r>
          </w:p>
        </w:tc>
      </w:tr>
      <w:tr w:rsidR="003C42E8" w:rsidRPr="003C42E8" w14:paraId="5A7F2D00"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DAA90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12</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940C2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El Limón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A3D38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F65F7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BA5E3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BDE82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w:t>
            </w:r>
          </w:p>
        </w:tc>
      </w:tr>
      <w:tr w:rsidR="003C42E8" w:rsidRPr="003C42E8" w14:paraId="4E5499D9"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EE523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13</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D59D9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Guadalajara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0B82D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19,572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A876C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17,355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BE0D0E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15,683</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BB4BB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11,782</w:t>
            </w:r>
          </w:p>
        </w:tc>
      </w:tr>
      <w:tr w:rsidR="003C42E8" w:rsidRPr="003C42E8" w14:paraId="7DCA800F"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9F090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14</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2A1A4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Huejuquilla</w:t>
            </w:r>
            <w:proofErr w:type="spellEnd"/>
            <w:r w:rsidRPr="003C42E8">
              <w:rPr>
                <w:rFonts w:ascii="Dosis" w:eastAsia="Times New Roman" w:hAnsi="Dosis" w:cs="Times New Roman"/>
                <w:b/>
                <w:bCs/>
                <w:sz w:val="16"/>
                <w:szCs w:val="16"/>
                <w:bdr w:val="none" w:sz="0" w:space="0" w:color="auto" w:frame="1"/>
                <w:lang w:eastAsia="es-MX"/>
              </w:rPr>
              <w:t xml:space="preserve"> el Alto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3FBDC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5FA7C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B3364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12</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36579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Sin datos</w:t>
            </w:r>
          </w:p>
        </w:tc>
      </w:tr>
      <w:tr w:rsidR="003C42E8" w:rsidRPr="003C42E8" w14:paraId="5FAFB75E"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9FC19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15</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D2F80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Ixtlahuacán del Río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82F30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B2010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DE26E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55</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87896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74</w:t>
            </w:r>
          </w:p>
        </w:tc>
      </w:tr>
      <w:tr w:rsidR="003C42E8" w:rsidRPr="003C42E8" w14:paraId="3E27F501"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1A87C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16</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D70BE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Jamay</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F12CA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106</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4C082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E153B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100</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55C9B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99</w:t>
            </w:r>
          </w:p>
        </w:tc>
      </w:tr>
      <w:tr w:rsidR="003C42E8" w:rsidRPr="003C42E8" w14:paraId="66F281B7"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EEEF7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17</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64B83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Jesús María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FBDA9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FEA19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88D3B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47</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2E515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26</w:t>
            </w:r>
          </w:p>
        </w:tc>
      </w:tr>
      <w:tr w:rsidR="003C42E8" w:rsidRPr="003C42E8" w14:paraId="3F3160D1"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673BE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18</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71A80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Jilotlán</w:t>
            </w:r>
            <w:proofErr w:type="spellEnd"/>
            <w:r w:rsidRPr="003C42E8">
              <w:rPr>
                <w:rFonts w:ascii="Dosis" w:eastAsia="Times New Roman" w:hAnsi="Dosis" w:cs="Times New Roman"/>
                <w:b/>
                <w:bCs/>
                <w:sz w:val="16"/>
                <w:szCs w:val="16"/>
                <w:bdr w:val="none" w:sz="0" w:space="0" w:color="auto" w:frame="1"/>
                <w:lang w:eastAsia="es-MX"/>
              </w:rPr>
              <w:t xml:space="preserve"> de los Dolores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487E6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Sin datos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25CD1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3942E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C769C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w:t>
            </w:r>
          </w:p>
        </w:tc>
      </w:tr>
      <w:tr w:rsidR="003C42E8" w:rsidRPr="003C42E8" w14:paraId="66C64776"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5BF8E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19</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67D07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Juchitlán</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B5415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897A35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61C4B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C4ED0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34</w:t>
            </w:r>
          </w:p>
        </w:tc>
      </w:tr>
      <w:tr w:rsidR="003C42E8" w:rsidRPr="003C42E8" w14:paraId="5957A6EA"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B067D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8D55A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La Huerta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1B2B9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56</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638CA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18C6B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80</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8CC46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86</w:t>
            </w:r>
          </w:p>
        </w:tc>
      </w:tr>
      <w:tr w:rsidR="003C42E8" w:rsidRPr="003C42E8" w14:paraId="5516CD1B"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AB56B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21</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2B9AE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Lagos de Moreno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E26EA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988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BAE0B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1,218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4CB32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831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82197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828</w:t>
            </w:r>
          </w:p>
        </w:tc>
      </w:tr>
      <w:tr w:rsidR="003C42E8" w:rsidRPr="003C42E8" w14:paraId="26A72E7D"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C7628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22</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1C514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Magdalena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65ED8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76</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560F6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0991D6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84</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0A13D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85</w:t>
            </w:r>
          </w:p>
        </w:tc>
      </w:tr>
      <w:tr w:rsidR="003C42E8" w:rsidRPr="003C42E8" w14:paraId="5DB7F866"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AF4B0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23</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DE084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Mexticacán</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F1A48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41A31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1B61B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8126B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w:t>
            </w:r>
          </w:p>
        </w:tc>
      </w:tr>
      <w:tr w:rsidR="003C42E8" w:rsidRPr="003C42E8" w14:paraId="62FCB362"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C155C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24</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05267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Mezquitic</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A05A8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33</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BCA2B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29</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BBF60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D9D63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Sin datos</w:t>
            </w:r>
          </w:p>
        </w:tc>
      </w:tr>
      <w:tr w:rsidR="003C42E8" w:rsidRPr="003C42E8" w14:paraId="539C1AD2"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7AA3A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25</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2E3EF9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Ocotlán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6C469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446</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DD89B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465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F9106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407</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F791A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317</w:t>
            </w:r>
          </w:p>
        </w:tc>
      </w:tr>
      <w:tr w:rsidR="003C42E8" w:rsidRPr="003C42E8" w14:paraId="46D9DC0B"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6BDD1F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26</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2DBFB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Poncitlán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216D9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161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74CDC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209</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0657E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270</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8671D4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330</w:t>
            </w:r>
          </w:p>
        </w:tc>
      </w:tr>
      <w:tr w:rsidR="003C42E8" w:rsidRPr="003C42E8" w14:paraId="14F0EC22"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DB69E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27</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27A05C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San Ignacio Cerro Gordo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3C74B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57618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4492D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C1268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31</w:t>
            </w:r>
          </w:p>
        </w:tc>
      </w:tr>
      <w:tr w:rsidR="003C42E8" w:rsidRPr="003C42E8" w14:paraId="3A51E34E"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9F7FF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28</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FCCF4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San Miguel el Alto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A847E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DA7D6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0972C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68</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85AD3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52</w:t>
            </w:r>
          </w:p>
        </w:tc>
      </w:tr>
      <w:tr w:rsidR="003C42E8" w:rsidRPr="003C42E8" w14:paraId="1ACE083C"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89EB2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29</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0ED30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San Pedro Tlaquepaque</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C3165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7,050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3D4DD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7,330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E108F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6,926</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421412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5,907</w:t>
            </w:r>
          </w:p>
        </w:tc>
      </w:tr>
      <w:tr w:rsidR="003C42E8" w:rsidRPr="003C42E8" w14:paraId="272F96DA"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1E9D2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30</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A805D6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Tapalpa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8B154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39</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BCF44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F32DD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44</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317A5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46</w:t>
            </w:r>
          </w:p>
        </w:tc>
      </w:tr>
      <w:tr w:rsidR="003C42E8" w:rsidRPr="003C42E8" w14:paraId="48E7DDCB"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BAFFF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31</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FA673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Tecolotlán</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579E6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Sin datos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657A7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17E9E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C75A92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116</w:t>
            </w:r>
          </w:p>
        </w:tc>
      </w:tr>
      <w:tr w:rsidR="003C42E8" w:rsidRPr="003C42E8" w14:paraId="4DF5E9D0"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34824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32</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77776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proofErr w:type="spellStart"/>
            <w:r w:rsidRPr="003C42E8">
              <w:rPr>
                <w:rFonts w:ascii="Dosis" w:eastAsia="Times New Roman" w:hAnsi="Dosis" w:cs="Times New Roman"/>
                <w:b/>
                <w:bCs/>
                <w:sz w:val="16"/>
                <w:szCs w:val="16"/>
                <w:bdr w:val="none" w:sz="0" w:space="0" w:color="auto" w:frame="1"/>
                <w:lang w:eastAsia="es-MX"/>
              </w:rPr>
              <w:t>Tenamaxtlán</w:t>
            </w:r>
            <w:proofErr w:type="spellEnd"/>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2B689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57EA4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C390F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18</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9C3DA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13</w:t>
            </w:r>
          </w:p>
        </w:tc>
      </w:tr>
      <w:tr w:rsidR="003C42E8" w:rsidRPr="003C42E8" w14:paraId="456BE748"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17A89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33</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AC063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Teocaltiche</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76758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57</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87427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0E80B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68</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6CB51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56</w:t>
            </w:r>
          </w:p>
        </w:tc>
      </w:tr>
      <w:tr w:rsidR="003C42E8" w:rsidRPr="003C42E8" w14:paraId="287C85D3"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948A4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34</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89867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Teuchitlán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F806F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Sin datos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3081F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F66561"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16</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9BF7C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32</w:t>
            </w:r>
          </w:p>
        </w:tc>
      </w:tr>
      <w:tr w:rsidR="003C42E8" w:rsidRPr="003C42E8" w14:paraId="34EFD54B"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26B9E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35</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B6D35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Tlajomulco de Zúñiga</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4D6BD8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5,966</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3270E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6,814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2183D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6,416</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CAAA2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2,697</w:t>
            </w:r>
          </w:p>
        </w:tc>
      </w:tr>
      <w:tr w:rsidR="003C42E8" w:rsidRPr="003C42E8" w14:paraId="73FA36D4"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D680C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36</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1726A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Tomatlán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A330F9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EADB4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EB9D6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69</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01FAA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90</w:t>
            </w:r>
          </w:p>
        </w:tc>
      </w:tr>
      <w:tr w:rsidR="003C42E8" w:rsidRPr="003C42E8" w14:paraId="101FD969"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16529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37</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6B09C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Tonalá</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63D7F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4,628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261C89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4,697</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5863B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4,352</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F5C1FE"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3,641</w:t>
            </w:r>
          </w:p>
        </w:tc>
      </w:tr>
      <w:tr w:rsidR="003C42E8" w:rsidRPr="003C42E8" w14:paraId="66E8AAC4"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E4441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38</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153A5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Valle de Guadalupe</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6BEB7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15</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35994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27</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4669E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32</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B5A6BD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28</w:t>
            </w:r>
          </w:p>
        </w:tc>
      </w:tr>
      <w:tr w:rsidR="003C42E8" w:rsidRPr="003C42E8" w14:paraId="2F761A51"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EC04DD"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39</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8335B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Villa Purificación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B0F72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20</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07C56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17</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2BE518"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22</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008EE2"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32</w:t>
            </w:r>
          </w:p>
        </w:tc>
      </w:tr>
      <w:tr w:rsidR="003C42E8" w:rsidRPr="003C42E8" w14:paraId="351C923F"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DC6154"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40</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8EAD6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Yahualica de González Gallo</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9A02D9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52</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02423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44</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B3120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67</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C816B9"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63</w:t>
            </w:r>
          </w:p>
        </w:tc>
      </w:tr>
      <w:tr w:rsidR="003C42E8" w:rsidRPr="003C42E8" w14:paraId="2C780E75"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2348F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41</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B2E98B"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Zacoalco de Torres</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B6741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171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90036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117</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DF3B9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103</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FF0BE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115</w:t>
            </w:r>
          </w:p>
        </w:tc>
      </w:tr>
      <w:tr w:rsidR="003C42E8" w:rsidRPr="003C42E8" w14:paraId="7A3B845B"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CF762C"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42</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F53D6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Zapopan</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410323"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10,093</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5223F70"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10,139</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E890D7"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9,761</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096A2F"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7,801</w:t>
            </w:r>
          </w:p>
        </w:tc>
      </w:tr>
      <w:tr w:rsidR="003C42E8" w:rsidRPr="003C42E8" w14:paraId="164EF82E" w14:textId="77777777" w:rsidTr="003C42E8">
        <w:trPr>
          <w:jc w:val="center"/>
        </w:trPr>
        <w:tc>
          <w:tcPr>
            <w:tcW w:w="84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8519DD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43</w:t>
            </w:r>
          </w:p>
        </w:tc>
        <w:tc>
          <w:tcPr>
            <w:tcW w:w="216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21ABB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Zapotlán el Grande</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7CC50DB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571</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AC83A5"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728</w:t>
            </w:r>
          </w:p>
        </w:tc>
        <w:tc>
          <w:tcPr>
            <w:tcW w:w="150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431A26"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728</w:t>
            </w:r>
          </w:p>
        </w:tc>
        <w:tc>
          <w:tcPr>
            <w:tcW w:w="150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4EE90A" w14:textId="77777777" w:rsidR="003C42E8" w:rsidRPr="003C42E8" w:rsidRDefault="003C42E8" w:rsidP="003C42E8">
            <w:pPr>
              <w:spacing w:after="0" w:line="240" w:lineRule="auto"/>
              <w:jc w:val="center"/>
              <w:textAlignment w:val="baseline"/>
              <w:rPr>
                <w:rFonts w:ascii="Dosis" w:eastAsia="Times New Roman" w:hAnsi="Dosis" w:cs="Times New Roman"/>
                <w:sz w:val="16"/>
                <w:szCs w:val="16"/>
                <w:lang w:eastAsia="es-MX"/>
              </w:rPr>
            </w:pPr>
            <w:r w:rsidRPr="003C42E8">
              <w:rPr>
                <w:rFonts w:ascii="Dosis" w:eastAsia="Times New Roman" w:hAnsi="Dosis" w:cs="Times New Roman"/>
                <w:b/>
                <w:bCs/>
                <w:sz w:val="16"/>
                <w:szCs w:val="16"/>
                <w:bdr w:val="none" w:sz="0" w:space="0" w:color="auto" w:frame="1"/>
                <w:lang w:eastAsia="es-MX"/>
              </w:rPr>
              <w:t>702</w:t>
            </w:r>
          </w:p>
        </w:tc>
      </w:tr>
    </w:tbl>
    <w:p w14:paraId="1A8AC51E" w14:textId="77777777" w:rsidR="003C42E8" w:rsidRDefault="003C42E8" w:rsidP="00EA52D4">
      <w:pPr>
        <w:tabs>
          <w:tab w:val="left" w:pos="2205"/>
        </w:tabs>
      </w:pPr>
    </w:p>
    <w:p w14:paraId="45DDEC82" w14:textId="77777777" w:rsidR="003C42E8" w:rsidRDefault="003C42E8" w:rsidP="00EA52D4">
      <w:pPr>
        <w:tabs>
          <w:tab w:val="left" w:pos="2205"/>
        </w:tabs>
      </w:pPr>
    </w:p>
    <w:p w14:paraId="13E43846" w14:textId="77777777" w:rsidR="003C42E8" w:rsidRPr="003C42E8" w:rsidRDefault="003C42E8" w:rsidP="004D6767">
      <w:pPr>
        <w:shd w:val="clear" w:color="auto" w:fill="FFFFFF"/>
        <w:spacing w:after="0" w:line="240" w:lineRule="auto"/>
        <w:jc w:val="both"/>
        <w:textAlignment w:val="baseline"/>
        <w:rPr>
          <w:rFonts w:ascii="Roboto Condensed" w:eastAsia="Times New Roman" w:hAnsi="Roboto Condensed" w:cs="Times New Roman"/>
          <w:color w:val="000000"/>
          <w:sz w:val="17"/>
          <w:szCs w:val="17"/>
          <w:lang w:eastAsia="es-MX"/>
        </w:rPr>
      </w:pPr>
      <w:r w:rsidRPr="003C42E8">
        <w:rPr>
          <w:rFonts w:ascii="Arial" w:eastAsia="Times New Roman" w:hAnsi="Arial" w:cs="Arial"/>
          <w:b/>
          <w:bCs/>
          <w:color w:val="000000"/>
          <w:sz w:val="17"/>
          <w:szCs w:val="17"/>
          <w:bdr w:val="none" w:sz="0" w:space="0" w:color="auto" w:frame="1"/>
          <w:lang w:eastAsia="es-MX"/>
        </w:rPr>
        <w:lastRenderedPageBreak/>
        <w:t>*Información obtenida del Instituto de Información Estadística y Geográfica IIEG, Incidencia Delictiva Regional, categoría seguridad, número de averiguaciones previas y/o carpetas de investigación iniciadas en las agencias del Ministerio Público por municipio proporcionados por la Fiscalía del Estado de Jalisco. último dato disponible, diciembre 2025.</w:t>
      </w:r>
    </w:p>
    <w:p w14:paraId="354F97F8" w14:textId="4D892954" w:rsidR="003C42E8" w:rsidRPr="003C42E8" w:rsidRDefault="003C42E8" w:rsidP="004D6767">
      <w:pPr>
        <w:shd w:val="clear" w:color="auto" w:fill="FFFFFF"/>
        <w:spacing w:after="0" w:line="240" w:lineRule="auto"/>
        <w:jc w:val="both"/>
        <w:textAlignment w:val="baseline"/>
        <w:rPr>
          <w:rFonts w:ascii="Roboto Condensed" w:eastAsia="Times New Roman" w:hAnsi="Roboto Condensed" w:cs="Times New Roman"/>
          <w:color w:val="000000"/>
          <w:sz w:val="17"/>
          <w:szCs w:val="17"/>
          <w:lang w:eastAsia="es-MX"/>
        </w:rPr>
      </w:pPr>
    </w:p>
    <w:p w14:paraId="4985C3F5"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En este contexto, la presencia de entornos con niveles relevantes de incidencia delictiva puede limitar el desarrollo pleno de niñas, niños y adolescentes y restringir su acceso a espacios seguros de convivencia y desarrollo cultural. </w:t>
      </w:r>
    </w:p>
    <w:p w14:paraId="2BBB770E" w14:textId="2203579B"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p>
    <w:p w14:paraId="51D320E3"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Considerando la población total de niñas, niños y adolescentes en el estado y las condiciones de vulnerabilidad socioeconómica existentes, se estima que cientos de miles de NNA en Jalisco enfrentan limitaciones para acceder a espacios formativos artísticos y culturales, particularmente en comunidades con menor infraestructura cultural o con mayores niveles de marginación social.</w:t>
      </w:r>
    </w:p>
    <w:p w14:paraId="2BA18546" w14:textId="754491D9"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p>
    <w:p w14:paraId="6E829BFA"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Ante este panorama, el Programa ECOS, Música para la Paz ha establecido espacios formativos en colonias y localidades con condiciones de vulnerabilidad social y/o con presencia de altos índices delictivos, ofreciendo alternativas de desarrollo artístico y convivencia comunitaria que favorecen la construcción de entornos protectores para niñas, niños y adolescentes.</w:t>
      </w:r>
    </w:p>
    <w:p w14:paraId="23A6C5F3" w14:textId="629C290B"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p>
    <w:p w14:paraId="5004C621"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Dichos espacios promueven el desarrollo de habilidades cognitivas, sociales y artísticas, fortalecen la autoestima, el sentido de pertenencia comunitaria y fomentan la participación cultural activa en condiciones de inclusión y equidad.</w:t>
      </w:r>
    </w:p>
    <w:p w14:paraId="6231CB6F" w14:textId="1BDF648A"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p>
    <w:p w14:paraId="2B564D4C"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De no atenderse esta problemática, se reduce la participación cultural de niñas, niños y adolescentes, se limita el desarrollo de habilidades artísticas y socioemocionales y se debilita la cohesión social en las comunidades.</w:t>
      </w:r>
    </w:p>
    <w:p w14:paraId="28E02CA2" w14:textId="6420B7EE"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p>
    <w:p w14:paraId="3B1D1C64"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A largo plazo, estas condiciones pueden contribuir a la reproducción de ciclos de desigualdad y marginación cultural, incrementar la exposición de NNA a entornos de riesgo social y disminuir el potencial de la cultura como herramienta para la prevención de la violencia y la construcción de paz.</w:t>
      </w:r>
    </w:p>
    <w:p w14:paraId="66D7047D" w14:textId="563D0F55"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p>
    <w:p w14:paraId="61D41948" w14:textId="77777777" w:rsidR="003C42E8" w:rsidRPr="003C42E8" w:rsidRDefault="003C42E8" w:rsidP="004D6767">
      <w:pPr>
        <w:shd w:val="clear" w:color="auto" w:fill="FFFFFF"/>
        <w:spacing w:after="0" w:line="240" w:lineRule="auto"/>
        <w:jc w:val="both"/>
        <w:textAlignment w:val="baseline"/>
        <w:rPr>
          <w:rFonts w:ascii="Dosis" w:eastAsia="Times New Roman" w:hAnsi="Dosis" w:cs="Times New Roman"/>
          <w:color w:val="000000"/>
          <w:sz w:val="17"/>
          <w:szCs w:val="17"/>
          <w:bdr w:val="none" w:sz="0" w:space="0" w:color="auto" w:frame="1"/>
          <w:lang w:eastAsia="es-MX"/>
        </w:rPr>
      </w:pPr>
      <w:r w:rsidRPr="003C42E8">
        <w:rPr>
          <w:rFonts w:ascii="Arial" w:eastAsia="Times New Roman" w:hAnsi="Arial" w:cs="Arial"/>
          <w:color w:val="000000"/>
          <w:sz w:val="17"/>
          <w:szCs w:val="17"/>
          <w:bdr w:val="none" w:sz="0" w:space="0" w:color="auto" w:frame="1"/>
          <w:lang w:eastAsia="es-MX"/>
        </w:rPr>
        <w:t>En este contexto, resulta indispensable consolidar intervenciones públicas que atiendan de manera integral las causas estructurales identificadas y mitiguen sus efectos en el desarrollo de niñas, niños y adolescentes.</w:t>
      </w:r>
    </w:p>
    <w:p w14:paraId="3E845DEF" w14:textId="77777777" w:rsidR="003C42E8" w:rsidRDefault="003C42E8" w:rsidP="003C42E8">
      <w:pPr>
        <w:shd w:val="clear" w:color="auto" w:fill="FFFFFF"/>
        <w:spacing w:after="0" w:line="240" w:lineRule="auto"/>
        <w:jc w:val="both"/>
        <w:textAlignment w:val="baseline"/>
        <w:rPr>
          <w:rFonts w:ascii="Arial" w:eastAsia="Times New Roman" w:hAnsi="Arial" w:cs="Arial"/>
          <w:b/>
          <w:bCs/>
          <w:color w:val="000000"/>
          <w:sz w:val="17"/>
          <w:szCs w:val="17"/>
          <w:bdr w:val="none" w:sz="0" w:space="0" w:color="auto" w:frame="1"/>
          <w:lang w:eastAsia="es-MX"/>
        </w:rPr>
      </w:pPr>
    </w:p>
    <w:p w14:paraId="1A9F11E8" w14:textId="1A511076" w:rsidR="003C42E8" w:rsidRDefault="003C42E8" w:rsidP="003C42E8">
      <w:pPr>
        <w:shd w:val="clear" w:color="auto" w:fill="FFFFFF"/>
        <w:spacing w:after="0" w:line="240" w:lineRule="auto"/>
        <w:jc w:val="both"/>
        <w:textAlignment w:val="baseline"/>
      </w:pPr>
      <w:r w:rsidRPr="003C42E8">
        <w:rPr>
          <w:rFonts w:ascii="Arial" w:eastAsia="Times New Roman" w:hAnsi="Arial" w:cs="Arial"/>
          <w:b/>
          <w:bCs/>
          <w:color w:val="000000"/>
          <w:sz w:val="17"/>
          <w:szCs w:val="17"/>
          <w:bdr w:val="none" w:sz="0" w:space="0" w:color="auto" w:frame="1"/>
          <w:lang w:eastAsia="es-MX"/>
        </w:rPr>
        <w:t>Árbol de problemas</w:t>
      </w:r>
    </w:p>
    <w:p w14:paraId="4EDBACF5" w14:textId="63F76537" w:rsidR="00777B35" w:rsidRPr="00EA52D4" w:rsidRDefault="003C42E8" w:rsidP="00EA52D4">
      <w:pPr>
        <w:tabs>
          <w:tab w:val="left" w:pos="2205"/>
        </w:tabs>
      </w:pPr>
      <w:r w:rsidRPr="003C42E8">
        <w:drawing>
          <wp:inline distT="0" distB="0" distL="0" distR="0" wp14:anchorId="24F2E67E" wp14:editId="15813EC0">
            <wp:extent cx="5830114" cy="3515216"/>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30114" cy="3515216"/>
                    </a:xfrm>
                    <a:prstGeom prst="rect">
                      <a:avLst/>
                    </a:prstGeom>
                  </pic:spPr>
                </pic:pic>
              </a:graphicData>
            </a:graphic>
          </wp:inline>
        </w:drawing>
      </w:r>
      <w:r w:rsidR="00EA52D4">
        <w:tab/>
      </w:r>
    </w:p>
    <w:sectPr w:rsidR="00777B35" w:rsidRPr="00EA52D4" w:rsidSect="00043A0B">
      <w:headerReference w:type="default" r:id="rId9"/>
      <w:footerReference w:type="default" r:id="rId10"/>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0FA43" w14:textId="77777777" w:rsidR="00183D6D" w:rsidRDefault="00183D6D" w:rsidP="007B1FEB">
      <w:pPr>
        <w:spacing w:after="0" w:line="240" w:lineRule="auto"/>
      </w:pPr>
      <w:r>
        <w:separator/>
      </w:r>
    </w:p>
  </w:endnote>
  <w:endnote w:type="continuationSeparator" w:id="0">
    <w:p w14:paraId="1606B32A" w14:textId="77777777" w:rsidR="00183D6D" w:rsidRDefault="00183D6D"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2FF" w:usb1="5000205B" w:usb2="00000020" w:usb3="00000000" w:csb0="0000019F" w:csb1="00000000"/>
  </w:font>
  <w:font w:name="Dosis">
    <w:charset w:val="00"/>
    <w:family w:val="auto"/>
    <w:pitch w:val="variable"/>
    <w:sig w:usb0="A00000BF" w:usb1="4000207B" w:usb2="00000000" w:usb3="00000000" w:csb0="00000093"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01289A19" w14:textId="77777777" w:rsidTr="00AE7691">
      <w:tc>
        <w:tcPr>
          <w:tcW w:w="3538" w:type="dxa"/>
        </w:tcPr>
        <w:p w14:paraId="5767B5C6" w14:textId="77777777" w:rsidR="00AE7691" w:rsidRPr="00777B35" w:rsidRDefault="00AE7691" w:rsidP="00777B35">
          <w:pPr>
            <w:pStyle w:val="Piedepgina"/>
            <w:rPr>
              <w:rFonts w:ascii="Century Gothic" w:hAnsi="Century Gothic"/>
              <w:b/>
              <w:sz w:val="16"/>
              <w:szCs w:val="16"/>
            </w:rPr>
          </w:pPr>
        </w:p>
      </w:tc>
      <w:tc>
        <w:tcPr>
          <w:tcW w:w="3647" w:type="dxa"/>
        </w:tcPr>
        <w:p w14:paraId="40B5627E"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14:paraId="0990556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0DAC707A"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561FF178" wp14:editId="227F79F6">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1FF178"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0F76A564" wp14:editId="55B3AAB2">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68A83F6F" wp14:editId="19967E30">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A0CFF" w14:textId="77777777" w:rsidR="00183D6D" w:rsidRDefault="00183D6D" w:rsidP="007B1FEB">
      <w:pPr>
        <w:spacing w:after="0" w:line="240" w:lineRule="auto"/>
      </w:pPr>
      <w:r>
        <w:separator/>
      </w:r>
    </w:p>
  </w:footnote>
  <w:footnote w:type="continuationSeparator" w:id="0">
    <w:p w14:paraId="4B5A8CFF" w14:textId="77777777" w:rsidR="00183D6D" w:rsidRDefault="00183D6D"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706B41C8" w14:textId="77777777" w:rsidTr="003255DE">
      <w:trPr>
        <w:trHeight w:val="851"/>
      </w:trPr>
      <w:tc>
        <w:tcPr>
          <w:tcW w:w="1666" w:type="pct"/>
          <w:shd w:val="clear" w:color="auto" w:fill="auto"/>
        </w:tcPr>
        <w:p w14:paraId="26ED16C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6D16F6C7" wp14:editId="25063255">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14:paraId="7090945B"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79C5B6AD" wp14:editId="30FDF5D9">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14:paraId="759857BF"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19CD47FF" wp14:editId="734FC405">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C7782F"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4755" w:hanging="360"/>
      </w:pPr>
      <w:rPr>
        <w:rFonts w:hint="default"/>
        <w:b/>
        <w:color w:val="767171" w:themeColor="background2" w:themeShade="80"/>
      </w:rPr>
    </w:lvl>
    <w:lvl w:ilvl="1">
      <w:start w:val="1"/>
      <w:numFmt w:val="upperRoman"/>
      <w:lvlText w:val="%2."/>
      <w:lvlJc w:val="left"/>
      <w:pPr>
        <w:ind w:left="5475" w:hanging="360"/>
      </w:pPr>
      <w:rPr>
        <w:rFonts w:hint="default"/>
      </w:rPr>
    </w:lvl>
    <w:lvl w:ilvl="2">
      <w:start w:val="1"/>
      <w:numFmt w:val="lowerLetter"/>
      <w:lvlText w:val="%3."/>
      <w:lvlJc w:val="right"/>
      <w:pPr>
        <w:ind w:left="6195" w:hanging="180"/>
      </w:pPr>
      <w:rPr>
        <w:rFonts w:hint="default"/>
      </w:rPr>
    </w:lvl>
    <w:lvl w:ilvl="3">
      <w:start w:val="1"/>
      <w:numFmt w:val="decimal"/>
      <w:lvlText w:val="%4."/>
      <w:lvlJc w:val="left"/>
      <w:pPr>
        <w:ind w:left="6915" w:hanging="360"/>
      </w:pPr>
      <w:rPr>
        <w:rFonts w:hint="default"/>
      </w:rPr>
    </w:lvl>
    <w:lvl w:ilvl="4">
      <w:start w:val="1"/>
      <w:numFmt w:val="lowerLetter"/>
      <w:lvlText w:val="%5."/>
      <w:lvlJc w:val="left"/>
      <w:pPr>
        <w:ind w:left="7635" w:hanging="360"/>
      </w:pPr>
      <w:rPr>
        <w:rFonts w:hint="default"/>
      </w:rPr>
    </w:lvl>
    <w:lvl w:ilvl="5">
      <w:start w:val="1"/>
      <w:numFmt w:val="lowerRoman"/>
      <w:lvlText w:val="%6."/>
      <w:lvlJc w:val="right"/>
      <w:pPr>
        <w:ind w:left="8355" w:hanging="180"/>
      </w:pPr>
      <w:rPr>
        <w:rFonts w:hint="default"/>
      </w:rPr>
    </w:lvl>
    <w:lvl w:ilvl="6">
      <w:start w:val="1"/>
      <w:numFmt w:val="decimal"/>
      <w:lvlText w:val="%7."/>
      <w:lvlJc w:val="left"/>
      <w:pPr>
        <w:ind w:left="9075" w:hanging="360"/>
      </w:pPr>
      <w:rPr>
        <w:rFonts w:hint="default"/>
      </w:rPr>
    </w:lvl>
    <w:lvl w:ilvl="7">
      <w:start w:val="1"/>
      <w:numFmt w:val="lowerLetter"/>
      <w:lvlText w:val="%8."/>
      <w:lvlJc w:val="left"/>
      <w:pPr>
        <w:ind w:left="9795" w:hanging="360"/>
      </w:pPr>
      <w:rPr>
        <w:rFonts w:hint="default"/>
      </w:rPr>
    </w:lvl>
    <w:lvl w:ilvl="8">
      <w:start w:val="1"/>
      <w:numFmt w:val="lowerRoman"/>
      <w:lvlText w:val="%9."/>
      <w:lvlJc w:val="right"/>
      <w:pPr>
        <w:ind w:left="10515" w:hanging="180"/>
      </w:pPr>
      <w:rPr>
        <w:rFont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83D6D"/>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42E8"/>
    <w:rsid w:val="003C7704"/>
    <w:rsid w:val="00443319"/>
    <w:rsid w:val="00451ECE"/>
    <w:rsid w:val="00472E74"/>
    <w:rsid w:val="004A1AB8"/>
    <w:rsid w:val="004C5626"/>
    <w:rsid w:val="004C6EBE"/>
    <w:rsid w:val="004C7264"/>
    <w:rsid w:val="004D0D17"/>
    <w:rsid w:val="004D1623"/>
    <w:rsid w:val="004D6767"/>
    <w:rsid w:val="004E169B"/>
    <w:rsid w:val="0051275C"/>
    <w:rsid w:val="005577BA"/>
    <w:rsid w:val="0057508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5BEA"/>
    <w:rsid w:val="00837687"/>
    <w:rsid w:val="00842EFE"/>
    <w:rsid w:val="00891878"/>
    <w:rsid w:val="008C0BDE"/>
    <w:rsid w:val="008D5C40"/>
    <w:rsid w:val="008D5EAD"/>
    <w:rsid w:val="00957951"/>
    <w:rsid w:val="00957BBC"/>
    <w:rsid w:val="00960867"/>
    <w:rsid w:val="009901DE"/>
    <w:rsid w:val="009E0775"/>
    <w:rsid w:val="009E798E"/>
    <w:rsid w:val="00A64AC1"/>
    <w:rsid w:val="00A6602C"/>
    <w:rsid w:val="00A81DA9"/>
    <w:rsid w:val="00AD7B00"/>
    <w:rsid w:val="00AE7691"/>
    <w:rsid w:val="00AF5580"/>
    <w:rsid w:val="00B127F2"/>
    <w:rsid w:val="00B13478"/>
    <w:rsid w:val="00B16CCD"/>
    <w:rsid w:val="00B479F6"/>
    <w:rsid w:val="00B835C5"/>
    <w:rsid w:val="00BA161D"/>
    <w:rsid w:val="00BA5332"/>
    <w:rsid w:val="00C54EF1"/>
    <w:rsid w:val="00C72F80"/>
    <w:rsid w:val="00C90D9C"/>
    <w:rsid w:val="00C91609"/>
    <w:rsid w:val="00CA635C"/>
    <w:rsid w:val="00CB7A0D"/>
    <w:rsid w:val="00CC21EA"/>
    <w:rsid w:val="00CD715F"/>
    <w:rsid w:val="00CE2DA3"/>
    <w:rsid w:val="00D624CC"/>
    <w:rsid w:val="00D80748"/>
    <w:rsid w:val="00DD32B0"/>
    <w:rsid w:val="00E104FB"/>
    <w:rsid w:val="00E36D60"/>
    <w:rsid w:val="00E40F0E"/>
    <w:rsid w:val="00E57CFB"/>
    <w:rsid w:val="00E70AF9"/>
    <w:rsid w:val="00EA52D4"/>
    <w:rsid w:val="00EB67E5"/>
    <w:rsid w:val="00EC394B"/>
    <w:rsid w:val="00EC4916"/>
    <w:rsid w:val="00ED7560"/>
    <w:rsid w:val="00F1019E"/>
    <w:rsid w:val="00F138C8"/>
    <w:rsid w:val="00F40472"/>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11A27"/>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3C42E8"/>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711152968">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948976386">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1764</Words>
  <Characters>9702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Viridiana Álvarez</cp:lastModifiedBy>
  <cp:revision>13</cp:revision>
  <cp:lastPrinted>2025-03-13T17:59:00Z</cp:lastPrinted>
  <dcterms:created xsi:type="dcterms:W3CDTF">2025-03-13T17:45:00Z</dcterms:created>
  <dcterms:modified xsi:type="dcterms:W3CDTF">2026-04-29T15:41:00Z</dcterms:modified>
</cp:coreProperties>
</file>